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C2" w:rsidRPr="000030C2" w:rsidRDefault="000030C2" w:rsidP="000030C2">
      <w:pPr>
        <w:keepNext/>
        <w:spacing w:before="240" w:after="60" w:line="240" w:lineRule="auto"/>
        <w:outlineLvl w:val="2"/>
        <w:rPr>
          <w:rFonts w:ascii="Arial" w:eastAsia="Times New Roman" w:hAnsi="Arial" w:cs="Arial"/>
          <w:b/>
          <w:bCs/>
          <w:sz w:val="26"/>
          <w:szCs w:val="26"/>
          <w:lang w:val="bg-BG"/>
        </w:rPr>
      </w:pPr>
      <w:bookmarkStart w:id="0" w:name="_Toc256000002"/>
      <w:r w:rsidRPr="000030C2">
        <w:rPr>
          <w:rFonts w:ascii="Arial" w:eastAsia="Times New Roman" w:hAnsi="Arial" w:cs="Arial"/>
          <w:b/>
          <w:bCs/>
          <w:noProof/>
          <w:sz w:val="26"/>
          <w:szCs w:val="26"/>
          <w:lang w:val="bg-BG"/>
        </w:rPr>
        <w:t>ENVCLIM(70) - Задължения в областта на околната среда и климата и други задължения в областта на управлението</w:t>
      </w:r>
      <w:bookmarkEnd w:id="0"/>
    </w:p>
    <w:p w:rsidR="000030C2" w:rsidRPr="000030C2" w:rsidRDefault="000030C2" w:rsidP="000030C2">
      <w:pPr>
        <w:keepNext/>
        <w:spacing w:before="240" w:after="60" w:line="240" w:lineRule="auto"/>
        <w:outlineLvl w:val="3"/>
        <w:rPr>
          <w:rFonts w:ascii="Times New Roman" w:eastAsia="Times New Roman" w:hAnsi="Times New Roman" w:cs="Times New Roman"/>
          <w:b/>
          <w:bCs/>
          <w:sz w:val="28"/>
          <w:szCs w:val="28"/>
          <w:lang w:val="bg-BG"/>
        </w:rPr>
      </w:pPr>
      <w:bookmarkStart w:id="1" w:name="_Toc256000003"/>
      <w:r w:rsidRPr="000030C2">
        <w:rPr>
          <w:rFonts w:ascii="Times New Roman" w:eastAsia="Times New Roman" w:hAnsi="Times New Roman" w:cs="Times New Roman"/>
          <w:b/>
          <w:bCs/>
          <w:noProof/>
          <w:sz w:val="28"/>
          <w:szCs w:val="28"/>
          <w:lang w:val="bg-BG"/>
        </w:rPr>
        <w:t>II.A.1 - Биологично растениевъдство</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Код на интервенцията (държава членка)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II.A.1</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Име на интервенцията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Биологично растениевъдство</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Вид интервенция</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ENVCLIM(70) - Задължения в областта на околната среда и климата и други задължения в областта на управлението</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Общ показател за крайния продукт</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O.17. Брой на хектарите или брой на други единици, ползващи се от подпомагане за биологично земеделие</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Участие за изискването за обособяване на средства за/на</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Приемственост между поколенията: Не</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Околна среда: Да</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Система за облекчения за екосхеми: Не</w:t>
            </w:r>
          </w:p>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Подход LEADER: Не</w:t>
            </w:r>
          </w:p>
        </w:tc>
      </w:tr>
    </w:tbl>
    <w:p w:rsidR="000030C2" w:rsidRPr="000030C2" w:rsidRDefault="000030C2" w:rsidP="000030C2">
      <w:pPr>
        <w:spacing w:before="240" w:after="60" w:line="240" w:lineRule="auto"/>
        <w:outlineLvl w:val="4"/>
        <w:rPr>
          <w:rFonts w:ascii="Times New Roman" w:eastAsia="Times New Roman" w:hAnsi="Times New Roman" w:cs="Times New Roman"/>
          <w:bCs/>
          <w:i/>
          <w:iCs/>
          <w:color w:val="000000"/>
          <w:sz w:val="24"/>
          <w:szCs w:val="26"/>
          <w:lang w:val="bg-BG"/>
        </w:rPr>
      </w:pPr>
      <w:bookmarkStart w:id="2" w:name="_Toc256000004"/>
      <w:r w:rsidRPr="000030C2">
        <w:rPr>
          <w:rFonts w:ascii="Times New Roman" w:eastAsia="Times New Roman" w:hAnsi="Times New Roman" w:cs="Times New Roman"/>
          <w:bCs/>
          <w:i/>
          <w:iCs/>
          <w:noProof/>
          <w:color w:val="000000"/>
          <w:sz w:val="24"/>
          <w:szCs w:val="26"/>
          <w:lang w:val="bg-BG"/>
        </w:rPr>
        <w:t>1 Териториално приложение и ако е уместно, регионално измерение</w:t>
      </w:r>
      <w:bookmarkEnd w:id="2"/>
    </w:p>
    <w:p w:rsidR="000030C2" w:rsidRPr="000030C2" w:rsidRDefault="000030C2" w:rsidP="000030C2">
      <w:pPr>
        <w:spacing w:after="0" w:line="240" w:lineRule="auto"/>
        <w:rPr>
          <w:rFonts w:ascii="Times New Roman" w:eastAsia="Times New Roman" w:hAnsi="Times New Roman" w:cs="Times New Roman"/>
          <w:color w:val="000000"/>
          <w:sz w:val="0"/>
          <w:szCs w:val="24"/>
          <w:lang w:val="bg-BG"/>
        </w:rPr>
      </w:pPr>
      <w:r w:rsidRPr="000030C2">
        <w:rPr>
          <w:rFonts w:ascii="Times New Roman" w:eastAsia="Times New Roman" w:hAnsi="Times New Roman" w:cs="Times New Roman"/>
          <w:noProof/>
          <w:color w:val="000000"/>
          <w:sz w:val="24"/>
          <w:szCs w:val="24"/>
          <w:lang w:val="bg-BG"/>
        </w:rPr>
        <w:t xml:space="preserve">Териториално приложение: </w:t>
      </w:r>
      <w:r w:rsidRPr="000030C2">
        <w:rPr>
          <w:rFonts w:ascii="Times New Roman" w:eastAsia="Times New Roman" w:hAnsi="Times New Roman" w:cs="Times New Roman"/>
          <w:b/>
          <w:noProof/>
          <w:color w:val="000000"/>
          <w:sz w:val="24"/>
          <w:szCs w:val="24"/>
          <w:lang w:val="bg-BG"/>
        </w:rPr>
        <w:t>Национално равнище</w:t>
      </w:r>
    </w:p>
    <w:p w:rsidR="000030C2" w:rsidRPr="000030C2" w:rsidRDefault="000030C2" w:rsidP="000030C2">
      <w:pPr>
        <w:spacing w:after="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240"/>
          <w:tblHeader/>
        </w:trPr>
        <w:tc>
          <w:tcPr>
            <w:tcW w:w="1500" w:type="pct"/>
            <w:shd w:val="clear" w:color="auto" w:fill="C0C0C0"/>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2500" w:type="pct"/>
            <w:shd w:val="clear" w:color="auto" w:fill="C0C0C0"/>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r>
      <w:tr w:rsidR="000030C2" w:rsidRPr="000030C2" w:rsidTr="008C688B">
        <w:trPr>
          <w:trHeight w:val="240"/>
          <w:tblHeader/>
        </w:trPr>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BG</w:t>
            </w:r>
          </w:p>
        </w:tc>
        <w:tc>
          <w:tcPr>
            <w:tcW w:w="2500" w:type="pct"/>
            <w:shd w:val="clear" w:color="auto" w:fill="FFFFFF"/>
            <w:tcMar>
              <w:left w:w="100" w:type="dxa"/>
              <w:right w:w="100" w:type="dxa"/>
            </w:tcMar>
          </w:tcPr>
          <w:p w:rsidR="000030C2" w:rsidRPr="000030C2" w:rsidRDefault="000030C2" w:rsidP="000030C2">
            <w:pPr>
              <w:spacing w:after="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България </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Интервенцията се прилага на територията на цялата страна</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3" w:name="_Toc256000005"/>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2 Свързани специфични цели, междусекторна цел и уместни секторни цели</w:t>
      </w:r>
      <w:bookmarkEnd w:id="3"/>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Код на СПЕЦИФИЧНАТА ЦЕЛ НА ОСП + описание</w:t>
            </w:r>
            <w:r w:rsidRPr="000030C2">
              <w:rPr>
                <w:rFonts w:ascii="Times New Roman" w:eastAsia="Times New Roman" w:hAnsi="Times New Roman" w:cs="Times New Roman"/>
                <w:noProof/>
                <w:color w:val="000000"/>
                <w:sz w:val="20"/>
                <w:szCs w:val="24"/>
                <w:lang w:val="bg-BG"/>
              </w:rPr>
              <w:t xml:space="preserve"> Препоръчителните специфични цели на ОСП за този вид интервенция са обозначени с получер шрифт</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0030C2" w:rsidRPr="000030C2" w:rsidTr="008C688B">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4" w:name="_Toc256000006"/>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3 Потребности, обхванати от интервенцията</w:t>
      </w:r>
      <w:bookmarkEnd w:id="4"/>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Разгледана в стратегически план по ОСП</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П.6.5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на практиките за разширяване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П.9.1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и подпомагане на биологичното земеделие, както и на научните изследвания в тази посока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lastRenderedPageBreak/>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Да</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5" w:name="_Toc256000007"/>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4 Показател(и) за резултатите</w:t>
      </w:r>
      <w:bookmarkEnd w:id="5"/>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Код на ПОКАЗАТЕЛИТЕ ЗА РЕЗУЛТАТИТЕ + описание</w:t>
            </w:r>
            <w:r w:rsidRPr="000030C2">
              <w:rPr>
                <w:rFonts w:ascii="Times New Roman" w:eastAsia="Times New Roman" w:hAnsi="Times New Roman" w:cs="Times New Roman"/>
                <w:noProof/>
                <w:color w:val="000000"/>
                <w:sz w:val="20"/>
                <w:szCs w:val="24"/>
                <w:lang w:val="bg-BG"/>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R.21 Дял на използваната земеделска площ (ИЗП), обхваната от подпомагани ангажименти за качеството на водните обекти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R.29 Дял на използваната земеделска площ (ИЗП), подпомагана по ОСП за органично земеделие, с разпределение за поддържане и преобразуване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6" w:name="_Toc256000008"/>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5 Конкретен план, изисквания и условия за допустимост на интервенцията</w:t>
      </w:r>
      <w:bookmarkEnd w:id="6"/>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Биологичното производство е устойчива система за управление, която се основава на общи и специфични принципи за биологично производство предвидени в Регламент (ЕС) 2018/848 относно биологичното производство и етикетирането на биологични продукти.</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Чрез прилагане на интервенцията се цели да се подпомогнат земеделските стопани, които искат да прилагат методите на биологичното производство в съответствие с изискванията на Регламент (ЕС) 2018/848 относно биологичното производство и етикетирането на биологични продукти в стопанствата, като се покрият разликите в допълнителните разходи и пропуснатите приходи при биологичния начин на отглеждане на земеделската продукция, сравнени с конвенционалните методи на производство.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Очаква се интервенцията да доведе до положителен ефект и принос към устойчивото развитие на селските райони, като допринася за околната среда и смекчаването на последиците от изменението на климата. Предвид факта, че повечето биологични производители предпочитат да развиват къси вериги на доставки, се очаква също да допринесе за развитието на малките общности в селските райони.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Земеделски стопани, които са регистрирани съгласно националното законодателство, имащи сключен договор с Контролиращо лице.Контролиращото лице трябва да е получило разрешение от министъра на земеделието за контрол и сертификация на биологично производство въз основа на </w:t>
            </w:r>
            <w:r w:rsidRPr="000030C2">
              <w:rPr>
                <w:rFonts w:ascii="Times New Roman" w:eastAsia="Times New Roman" w:hAnsi="Times New Roman" w:cs="Times New Roman"/>
                <w:noProof/>
                <w:sz w:val="24"/>
                <w:szCs w:val="24"/>
                <w:lang w:val="bg-BG"/>
              </w:rPr>
              <w:lastRenderedPageBreak/>
              <w:t>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tc>
      </w:tr>
    </w:tbl>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Ангажиментите по интервенцията са обособени в две операции:</w:t>
            </w:r>
          </w:p>
          <w:p w:rsidR="000030C2" w:rsidRPr="00144255" w:rsidRDefault="000030C2" w:rsidP="00144255">
            <w:pPr>
              <w:pStyle w:val="ListParagraph"/>
              <w:numPr>
                <w:ilvl w:val="0"/>
                <w:numId w:val="1"/>
              </w:numPr>
              <w:spacing w:before="40" w:after="40" w:line="240" w:lineRule="auto"/>
              <w:jc w:val="both"/>
              <w:rPr>
                <w:rFonts w:ascii="Times New Roman" w:eastAsia="Times New Roman" w:hAnsi="Times New Roman" w:cs="Times New Roman"/>
                <w:sz w:val="24"/>
                <w:szCs w:val="24"/>
                <w:lang w:val="bg-BG"/>
              </w:rPr>
            </w:pPr>
            <w:r w:rsidRPr="00144255">
              <w:rPr>
                <w:rFonts w:ascii="Times New Roman" w:eastAsia="Times New Roman" w:hAnsi="Times New Roman" w:cs="Times New Roman"/>
                <w:noProof/>
                <w:sz w:val="24"/>
                <w:szCs w:val="24"/>
                <w:lang w:val="bg-BG"/>
              </w:rPr>
              <w:t>Плащания за преминаване към биологично растениевъдство</w:t>
            </w:r>
          </w:p>
          <w:p w:rsidR="000030C2" w:rsidRDefault="000030C2" w:rsidP="00144255">
            <w:pPr>
              <w:pStyle w:val="ListParagraph"/>
              <w:numPr>
                <w:ilvl w:val="0"/>
                <w:numId w:val="1"/>
              </w:numPr>
              <w:spacing w:before="40" w:after="40" w:line="240" w:lineRule="auto"/>
              <w:jc w:val="both"/>
              <w:rPr>
                <w:rFonts w:ascii="Times New Roman" w:eastAsia="Times New Roman" w:hAnsi="Times New Roman" w:cs="Times New Roman"/>
                <w:sz w:val="24"/>
                <w:szCs w:val="24"/>
                <w:lang w:val="bg-BG"/>
              </w:rPr>
            </w:pPr>
            <w:r w:rsidRPr="00144255">
              <w:rPr>
                <w:rFonts w:ascii="Times New Roman" w:eastAsia="Times New Roman" w:hAnsi="Times New Roman" w:cs="Times New Roman"/>
                <w:noProof/>
                <w:sz w:val="24"/>
                <w:szCs w:val="24"/>
                <w:lang w:val="bg-BG"/>
              </w:rPr>
              <w:t>Плащания за поддържане на биологично растениевъдство</w:t>
            </w:r>
          </w:p>
          <w:p w:rsidR="00144255" w:rsidRPr="00144255" w:rsidRDefault="00144255" w:rsidP="00215135">
            <w:pPr>
              <w:pStyle w:val="ListParagraph"/>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по тази интервенция се предоставя под формата на годишни плащания на хектар земеделска площ.</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(ЕС) 2021/2115.</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Задължително бенефициентите по интервенцията, трябва да спазват изискванията на Регламент (ЕС) 2018/848 относно биологичното производство и етикетирането на биологични продукти и да имат сключен договор за контрол и сертификация с контролиращо лице получило разрешение от министъра на земеделието за преминаване към и/или продължаване на управлението в съответствие с правилата за биологично производство.</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Цялото стопанство, с което се поема ангажимента, трябва да се управлява в съответствие с приложимите за биологичното производство изисквания в Регламент (ЕС) 2018/848 относно биологичното производство и етикетирането на биологични продукти,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 за преминаване към биологично производство и за небиологично производство, при условие че по отношение на производствените единици за небиологично производство растенията са от различни, лесно разграничими видове/сортове.</w:t>
            </w:r>
          </w:p>
          <w:p w:rsidR="00144255" w:rsidRPr="000030C2" w:rsidRDefault="00144255"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i/>
                <w:sz w:val="24"/>
                <w:szCs w:val="24"/>
                <w:lang w:val="bg-BG"/>
              </w:rPr>
            </w:pPr>
            <w:r w:rsidRPr="000030C2">
              <w:rPr>
                <w:rFonts w:ascii="Times New Roman" w:eastAsia="Times New Roman" w:hAnsi="Times New Roman" w:cs="Times New Roman"/>
                <w:i/>
                <w:noProof/>
                <w:sz w:val="24"/>
                <w:szCs w:val="24"/>
                <w:lang w:val="bg-BG"/>
              </w:rPr>
              <w:t>Общи изисквания по направленията за двете операции „Плащания за преминаване към биологично земеделие“ и „Плащания за поддържане на биологично земеделие“.</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е за земеделските площи, регистрирани в ИСАК, които отговарят на определението за „допустим хектар“.</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Всички земеделски площи е необходимо да са под контрола на контролиращото лице.</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Pr="001B5639" w:rsidRDefault="000030C2" w:rsidP="00144255">
            <w:pPr>
              <w:spacing w:before="40" w:after="40" w:line="240" w:lineRule="auto"/>
              <w:jc w:val="both"/>
              <w:rPr>
                <w:rFonts w:ascii="Times New Roman" w:eastAsia="Times New Roman" w:hAnsi="Times New Roman" w:cs="Times New Roman"/>
                <w:noProof/>
                <w:color w:val="FF0000"/>
                <w:sz w:val="24"/>
                <w:szCs w:val="24"/>
                <w:lang w:val="bg-BG"/>
              </w:rPr>
            </w:pPr>
            <w:r w:rsidRPr="001B5639">
              <w:rPr>
                <w:rFonts w:ascii="Times New Roman" w:eastAsia="Times New Roman" w:hAnsi="Times New Roman" w:cs="Times New Roman"/>
                <w:noProof/>
                <w:color w:val="FF0000"/>
                <w:sz w:val="24"/>
                <w:szCs w:val="24"/>
                <w:lang w:val="bg-BG"/>
              </w:rPr>
              <w:t>Площи, заети с фуражни култури, които не са заявени по</w:t>
            </w:r>
            <w:r w:rsidR="008C688B" w:rsidRPr="001B5639">
              <w:rPr>
                <w:rFonts w:ascii="Times New Roman" w:eastAsia="Times New Roman" w:hAnsi="Times New Roman" w:cs="Times New Roman"/>
                <w:noProof/>
                <w:color w:val="FF0000"/>
                <w:sz w:val="24"/>
                <w:szCs w:val="24"/>
                <w:lang w:val="bg-BG"/>
              </w:rPr>
              <w:t xml:space="preserve"> интервенцията „Биологично животновъдство“</w:t>
            </w:r>
            <w:r w:rsidRPr="001B5639">
              <w:rPr>
                <w:rFonts w:ascii="Times New Roman" w:eastAsia="Times New Roman" w:hAnsi="Times New Roman" w:cs="Times New Roman"/>
                <w:noProof/>
                <w:color w:val="FF0000"/>
                <w:sz w:val="24"/>
                <w:szCs w:val="24"/>
                <w:lang w:val="bg-BG"/>
              </w:rPr>
              <w:t xml:space="preserve"> чл. </w:t>
            </w:r>
            <w:r w:rsidR="008C688B" w:rsidRPr="001B5639">
              <w:rPr>
                <w:rFonts w:ascii="Times New Roman" w:eastAsia="Times New Roman" w:hAnsi="Times New Roman" w:cs="Times New Roman"/>
                <w:noProof/>
                <w:color w:val="FF0000"/>
                <w:sz w:val="24"/>
                <w:szCs w:val="24"/>
                <w:lang w:val="bg-BG"/>
              </w:rPr>
              <w:t>70</w:t>
            </w:r>
            <w:r w:rsidRPr="001B5639">
              <w:rPr>
                <w:rFonts w:ascii="Times New Roman" w:eastAsia="Times New Roman" w:hAnsi="Times New Roman" w:cs="Times New Roman"/>
                <w:noProof/>
                <w:color w:val="FF0000"/>
                <w:sz w:val="24"/>
                <w:szCs w:val="24"/>
                <w:lang w:val="bg-BG"/>
              </w:rPr>
              <w:t xml:space="preserve"> от Регламент (ЕС) 2021/2115, могат да получат подпомагане по интервенцията.</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i/>
                <w:sz w:val="24"/>
                <w:szCs w:val="24"/>
                <w:lang w:val="bg-BG"/>
              </w:rPr>
            </w:pPr>
            <w:r w:rsidRPr="000030C2">
              <w:rPr>
                <w:rFonts w:ascii="Times New Roman" w:eastAsia="Times New Roman" w:hAnsi="Times New Roman" w:cs="Times New Roman"/>
                <w:i/>
                <w:noProof/>
                <w:sz w:val="24"/>
                <w:szCs w:val="24"/>
                <w:lang w:val="bg-BG"/>
              </w:rPr>
              <w:t>Специфични условия и изисквания по отделните операции въз основа на дейности от съответното направление:</w:t>
            </w:r>
          </w:p>
          <w:p w:rsidR="000030C2" w:rsidRPr="00CB0BC7" w:rsidRDefault="000030C2" w:rsidP="00CB0BC7">
            <w:pPr>
              <w:pStyle w:val="ListParagraph"/>
              <w:numPr>
                <w:ilvl w:val="0"/>
                <w:numId w:val="2"/>
              </w:numPr>
              <w:spacing w:before="40" w:after="40" w:line="240" w:lineRule="auto"/>
              <w:jc w:val="both"/>
              <w:rPr>
                <w:rFonts w:ascii="Times New Roman" w:eastAsia="Times New Roman" w:hAnsi="Times New Roman" w:cs="Times New Roman"/>
                <w:b/>
                <w:noProof/>
                <w:sz w:val="24"/>
                <w:szCs w:val="24"/>
                <w:lang w:val="bg-BG"/>
              </w:rPr>
            </w:pPr>
            <w:r w:rsidRPr="00CB0BC7">
              <w:rPr>
                <w:rFonts w:ascii="Times New Roman" w:eastAsia="Times New Roman" w:hAnsi="Times New Roman" w:cs="Times New Roman"/>
                <w:b/>
                <w:noProof/>
                <w:sz w:val="24"/>
                <w:szCs w:val="24"/>
                <w:lang w:val="bg-BG"/>
              </w:rPr>
              <w:t>„Плащания за преминаване към биологично растениъвъдство“:</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 xml:space="preserve">Ангажиментът за операцията е пет годишен в случаите, в които площите в стопанството са встъпили в период на преминаване към биологично растениевъдство. Въпреки че продължителността на периода за преминаване към биологично земеделие варира в зависимост от вида на отглежданите култури (между 2 и 3 години), помощта за подпомагането за преидода на преход се отпуска за срок </w:t>
            </w:r>
            <w:r w:rsidRPr="000030C2">
              <w:rPr>
                <w:rFonts w:ascii="Times New Roman" w:eastAsia="Times New Roman" w:hAnsi="Times New Roman" w:cs="Times New Roman"/>
                <w:noProof/>
                <w:sz w:val="24"/>
                <w:szCs w:val="24"/>
                <w:lang w:val="bg-BG"/>
              </w:rPr>
              <w:lastRenderedPageBreak/>
              <w:t>от 5 години, считано от първата година на подаване на заявлението за помощ, за да се подкрепят всички земеделски стопани в промяната на техните практики, като им позволяват да придобият необходимите технически умения до постигане на стабилно ниво на добив. След изтичането на този период съгласно Регламент (ЕС) 2018/848, земеделският стопанин следва да предостави сертификат за биологична продукция.</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В случаите, в които съществуващите биологични стопанства добавят площи в период на преминаване към биологично земеделие, то тези площи получават подпомагане за целият период на ангажимента.</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Площите, преминали период на преход и получили подпомагане по операцията, не могат да бъдат подпомагани отново по същата операция.</w:t>
            </w:r>
          </w:p>
          <w:p w:rsidR="00CB0BC7" w:rsidRDefault="00CB0BC7" w:rsidP="00144255">
            <w:pPr>
              <w:spacing w:before="40" w:after="40" w:line="240" w:lineRule="auto"/>
              <w:jc w:val="both"/>
              <w:rPr>
                <w:rFonts w:ascii="Times New Roman" w:eastAsia="Times New Roman" w:hAnsi="Times New Roman" w:cs="Times New Roman"/>
                <w:noProof/>
                <w:sz w:val="24"/>
                <w:szCs w:val="24"/>
                <w:lang w:val="bg-BG"/>
              </w:rPr>
            </w:pP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Площите, подпомогнати по мярка 11 „Биологично земеделие“ от ПРСР 2014-2020 г, както и площите, за които е бил отнет сертификат и/или за които е започнал нов преходен период, не могат да участват за подпомагане по тази операция.</w:t>
            </w:r>
          </w:p>
          <w:p w:rsidR="00CB0BC7" w:rsidRDefault="00CB0BC7" w:rsidP="00144255">
            <w:pPr>
              <w:spacing w:before="40" w:after="40" w:line="240" w:lineRule="auto"/>
              <w:jc w:val="both"/>
              <w:rPr>
                <w:rFonts w:ascii="Times New Roman" w:eastAsia="Times New Roman" w:hAnsi="Times New Roman" w:cs="Times New Roman"/>
                <w:noProof/>
                <w:sz w:val="24"/>
                <w:szCs w:val="24"/>
                <w:lang w:val="bg-BG"/>
              </w:rPr>
            </w:pPr>
          </w:p>
          <w:p w:rsidR="00281E70" w:rsidRPr="001B5639" w:rsidRDefault="00C51618" w:rsidP="00281E70">
            <w:pPr>
              <w:tabs>
                <w:tab w:val="left" w:pos="2170"/>
              </w:tabs>
              <w:spacing w:before="40" w:after="40" w:line="240" w:lineRule="auto"/>
              <w:jc w:val="both"/>
              <w:rPr>
                <w:rFonts w:ascii="Times New Roman" w:eastAsia="Times New Roman" w:hAnsi="Times New Roman" w:cs="Times New Roman"/>
                <w:noProof/>
                <w:color w:val="FF0000"/>
                <w:sz w:val="24"/>
                <w:szCs w:val="24"/>
                <w:lang w:val="bg-BG"/>
              </w:rPr>
            </w:pPr>
            <w:r w:rsidRPr="001B5639">
              <w:rPr>
                <w:rFonts w:ascii="Times New Roman" w:eastAsia="Times New Roman" w:hAnsi="Times New Roman" w:cs="Times New Roman"/>
                <w:noProof/>
                <w:color w:val="FF0000"/>
                <w:sz w:val="24"/>
                <w:szCs w:val="24"/>
                <w:lang w:val="bg-BG"/>
              </w:rPr>
              <w:t xml:space="preserve">По операцията </w:t>
            </w:r>
            <w:r w:rsidR="002D0C84">
              <w:rPr>
                <w:rFonts w:ascii="Times New Roman" w:eastAsia="Times New Roman" w:hAnsi="Times New Roman" w:cs="Times New Roman"/>
                <w:noProof/>
                <w:color w:val="FF0000"/>
                <w:sz w:val="24"/>
                <w:szCs w:val="24"/>
                <w:lang w:val="bg-BG"/>
              </w:rPr>
              <w:t>от 2026 г.</w:t>
            </w:r>
            <w:r w:rsidR="00281E70"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могат да се поемат нови</w:t>
            </w:r>
            <w:r w:rsidR="00281E70" w:rsidRPr="001B5639">
              <w:rPr>
                <w:rFonts w:ascii="Times New Roman" w:eastAsia="Times New Roman" w:hAnsi="Times New Roman" w:cs="Times New Roman"/>
                <w:noProof/>
                <w:color w:val="FF0000"/>
                <w:sz w:val="24"/>
                <w:szCs w:val="24"/>
                <w:lang w:val="bg-BG"/>
              </w:rPr>
              <w:t xml:space="preserve"> </w:t>
            </w:r>
            <w:r w:rsidR="00CB0BC7" w:rsidRPr="001B5639">
              <w:rPr>
                <w:rFonts w:ascii="Times New Roman" w:eastAsia="Times New Roman" w:hAnsi="Times New Roman" w:cs="Times New Roman"/>
                <w:noProof/>
                <w:color w:val="FF0000"/>
                <w:sz w:val="24"/>
                <w:szCs w:val="24"/>
              </w:rPr>
              <w:t xml:space="preserve"> </w:t>
            </w:r>
            <w:r w:rsidR="00281E70" w:rsidRPr="001B5639">
              <w:rPr>
                <w:rFonts w:ascii="Times New Roman" w:eastAsia="Times New Roman" w:hAnsi="Times New Roman" w:cs="Times New Roman"/>
                <w:noProof/>
                <w:color w:val="FF0000"/>
                <w:sz w:val="24"/>
                <w:szCs w:val="24"/>
                <w:lang w:val="bg-BG"/>
              </w:rPr>
              <w:t>ангажимент</w:t>
            </w:r>
            <w:r w:rsidRPr="001B5639">
              <w:rPr>
                <w:rFonts w:ascii="Times New Roman" w:eastAsia="Times New Roman" w:hAnsi="Times New Roman" w:cs="Times New Roman"/>
                <w:noProof/>
                <w:color w:val="FF0000"/>
                <w:sz w:val="24"/>
                <w:szCs w:val="24"/>
                <w:lang w:val="bg-BG"/>
              </w:rPr>
              <w:t>и</w:t>
            </w:r>
            <w:r w:rsidR="00281E70"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с продължителност от</w:t>
            </w:r>
            <w:r w:rsidR="00281E70" w:rsidRPr="001B5639">
              <w:rPr>
                <w:rFonts w:ascii="Times New Roman" w:eastAsia="Times New Roman" w:hAnsi="Times New Roman" w:cs="Times New Roman"/>
                <w:noProof/>
                <w:color w:val="FF0000"/>
                <w:sz w:val="24"/>
                <w:szCs w:val="24"/>
                <w:lang w:val="bg-BG"/>
              </w:rPr>
              <w:t xml:space="preserve"> 3 години. Когато</w:t>
            </w:r>
            <w:r w:rsidR="004F4CD8"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нов ангажимент се</w:t>
            </w:r>
            <w:r w:rsidR="00281E70" w:rsidRPr="001B5639">
              <w:rPr>
                <w:rFonts w:ascii="Times New Roman" w:eastAsia="Times New Roman" w:hAnsi="Times New Roman" w:cs="Times New Roman"/>
                <w:noProof/>
                <w:color w:val="FF0000"/>
                <w:sz w:val="24"/>
                <w:szCs w:val="24"/>
                <w:lang w:val="bg-BG"/>
              </w:rPr>
              <w:t xml:space="preserve"> пое</w:t>
            </w:r>
            <w:r w:rsidRPr="001B5639">
              <w:rPr>
                <w:rFonts w:ascii="Times New Roman" w:eastAsia="Times New Roman" w:hAnsi="Times New Roman" w:cs="Times New Roman"/>
                <w:noProof/>
                <w:color w:val="FF0000"/>
                <w:sz w:val="24"/>
                <w:szCs w:val="24"/>
                <w:lang w:val="bg-BG"/>
              </w:rPr>
              <w:t>ма</w:t>
            </w:r>
            <w:r w:rsidR="00281E70" w:rsidRPr="001B5639">
              <w:rPr>
                <w:rFonts w:ascii="Times New Roman" w:eastAsia="Times New Roman" w:hAnsi="Times New Roman" w:cs="Times New Roman"/>
                <w:noProof/>
                <w:color w:val="FF0000"/>
                <w:sz w:val="24"/>
                <w:szCs w:val="24"/>
                <w:lang w:val="bg-BG"/>
              </w:rPr>
              <w:t xml:space="preserve"> </w:t>
            </w:r>
            <w:r w:rsidRPr="001B5639">
              <w:rPr>
                <w:rFonts w:ascii="Times New Roman" w:eastAsia="Times New Roman" w:hAnsi="Times New Roman" w:cs="Times New Roman"/>
                <w:noProof/>
                <w:color w:val="FF0000"/>
                <w:sz w:val="24"/>
                <w:szCs w:val="24"/>
                <w:lang w:val="bg-BG"/>
              </w:rPr>
              <w:t>и изпълнява</w:t>
            </w:r>
            <w:r w:rsidR="00281E70" w:rsidRPr="001B5639">
              <w:rPr>
                <w:rFonts w:ascii="Times New Roman" w:eastAsia="Times New Roman" w:hAnsi="Times New Roman" w:cs="Times New Roman"/>
                <w:noProof/>
                <w:color w:val="FF0000"/>
                <w:sz w:val="24"/>
                <w:szCs w:val="24"/>
                <w:lang w:val="bg-BG"/>
              </w:rPr>
              <w:t xml:space="preserve"> с площи с трайни насаждения, бенефициентите представят сертификат по чл. 35 от Регламент (ЕС) 2018/848</w:t>
            </w:r>
            <w:r w:rsidR="004F4CD8" w:rsidRPr="001B5639">
              <w:rPr>
                <w:rFonts w:ascii="Times New Roman" w:eastAsia="Times New Roman" w:hAnsi="Times New Roman" w:cs="Times New Roman"/>
                <w:noProof/>
                <w:color w:val="FF0000"/>
                <w:sz w:val="24"/>
                <w:szCs w:val="24"/>
                <w:lang w:val="bg-BG"/>
              </w:rPr>
              <w:t xml:space="preserve"> най-малко веднъж до края на ангажимента</w:t>
            </w:r>
            <w:r w:rsidR="00281E70" w:rsidRPr="001B5639">
              <w:rPr>
                <w:rFonts w:ascii="Times New Roman" w:eastAsia="Times New Roman" w:hAnsi="Times New Roman" w:cs="Times New Roman"/>
                <w:noProof/>
                <w:color w:val="FF0000"/>
                <w:sz w:val="24"/>
                <w:szCs w:val="24"/>
                <w:lang w:val="bg-BG"/>
              </w:rPr>
              <w:t>.</w:t>
            </w:r>
          </w:p>
          <w:p w:rsidR="00281E70" w:rsidRDefault="00281E70" w:rsidP="00CB0BC7">
            <w:pPr>
              <w:spacing w:before="40" w:after="40" w:line="240" w:lineRule="auto"/>
              <w:jc w:val="both"/>
              <w:rPr>
                <w:rFonts w:ascii="Times New Roman" w:eastAsia="Times New Roman" w:hAnsi="Times New Roman" w:cs="Times New Roman"/>
                <w:noProof/>
                <w:color w:val="FF0000"/>
                <w:sz w:val="24"/>
                <w:szCs w:val="24"/>
                <w:highlight w:val="yellow"/>
                <w:lang w:val="bg-BG"/>
              </w:rPr>
            </w:pPr>
            <w:r>
              <w:rPr>
                <w:rFonts w:ascii="Times New Roman" w:eastAsia="Times New Roman" w:hAnsi="Times New Roman" w:cs="Times New Roman"/>
                <w:noProof/>
                <w:color w:val="FF0000"/>
                <w:sz w:val="24"/>
                <w:szCs w:val="24"/>
                <w:highlight w:val="yellow"/>
                <w:lang w:val="bg-BG"/>
              </w:rPr>
              <w:t xml:space="preserve"> </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края на втората година от ангажимента, кандидатът за подпомагане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 или да докаже придобит опит от предходен ангажимент.</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Ангажиментът може да се разширява с площи, които отговарят на изискванията на тази операция, до края на третата година, съгласно подробни правила, разписани в националното законодателство.</w:t>
            </w:r>
          </w:p>
          <w:p w:rsidR="00CB0BC7" w:rsidRPr="000030C2" w:rsidRDefault="00CB0BC7"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b/>
                <w:sz w:val="24"/>
                <w:szCs w:val="24"/>
                <w:lang w:val="bg-BG"/>
              </w:rPr>
            </w:pPr>
            <w:r w:rsidRPr="000030C2">
              <w:rPr>
                <w:rFonts w:ascii="Times New Roman" w:eastAsia="Times New Roman" w:hAnsi="Times New Roman" w:cs="Times New Roman"/>
                <w:b/>
                <w:noProof/>
                <w:sz w:val="24"/>
                <w:szCs w:val="24"/>
                <w:lang w:val="bg-BG"/>
              </w:rPr>
              <w:t>2. „Плащания за поддържане на биологично растениевъдство“</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Кандидатите за подпомагане поемат ангажимент да прилагат методите на биологично производство за период от пет последователни години. След изтичане на петгодишния период на ангажимента, кандидатите могат да удължават ангажимента си ежегодно до изтичане на програмния период.</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Земеделските стопани следва да предоставят всяка година от поетия многогодишен ангажимент:</w:t>
            </w:r>
          </w:p>
          <w:p w:rsidR="000030C2" w:rsidRPr="000030C2" w:rsidRDefault="000030C2" w:rsidP="00144255">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сертификат за произведена от тях биологична растителна продукция с доказателства за добита продукция от всеки заявен земеделски парцел;</w:t>
            </w:r>
          </w:p>
          <w:p w:rsidR="000030C2" w:rsidRDefault="000030C2" w:rsidP="00144255">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 доказателства за реализация на сертифицираната биологична продукция, за която са получили подпомагане по операцията.</w:t>
            </w:r>
          </w:p>
          <w:p w:rsidR="001B5639" w:rsidRDefault="001B5639" w:rsidP="001B5639">
            <w:pPr>
              <w:spacing w:before="40" w:after="40" w:line="240" w:lineRule="auto"/>
              <w:jc w:val="both"/>
              <w:rPr>
                <w:rFonts w:ascii="Times New Roman" w:eastAsia="Times New Roman" w:hAnsi="Times New Roman" w:cs="Times New Roman"/>
                <w:noProof/>
                <w:color w:val="FF0000"/>
                <w:sz w:val="24"/>
                <w:szCs w:val="24"/>
                <w:lang w:val="bg-BG"/>
              </w:rPr>
            </w:pPr>
          </w:p>
          <w:p w:rsidR="001B5639" w:rsidRDefault="00C51618" w:rsidP="001B5639">
            <w:pPr>
              <w:spacing w:before="40" w:after="40" w:line="240" w:lineRule="auto"/>
              <w:jc w:val="both"/>
              <w:rPr>
                <w:rFonts w:ascii="Times New Roman" w:eastAsia="Times New Roman" w:hAnsi="Times New Roman" w:cs="Times New Roman"/>
                <w:noProof/>
                <w:color w:val="FF0000"/>
                <w:sz w:val="24"/>
                <w:szCs w:val="24"/>
              </w:rPr>
            </w:pPr>
            <w:r w:rsidRPr="001B5639">
              <w:rPr>
                <w:rFonts w:ascii="Times New Roman" w:eastAsia="Times New Roman" w:hAnsi="Times New Roman" w:cs="Times New Roman"/>
                <w:noProof/>
                <w:color w:val="FF0000"/>
                <w:sz w:val="24"/>
                <w:szCs w:val="24"/>
                <w:lang w:val="bg-BG"/>
              </w:rPr>
              <w:t xml:space="preserve">По операцията </w:t>
            </w:r>
            <w:r w:rsidR="002D0C84">
              <w:rPr>
                <w:rFonts w:ascii="Times New Roman" w:eastAsia="Times New Roman" w:hAnsi="Times New Roman" w:cs="Times New Roman"/>
                <w:noProof/>
                <w:color w:val="FF0000"/>
                <w:sz w:val="24"/>
                <w:szCs w:val="24"/>
                <w:lang w:val="bg-BG"/>
              </w:rPr>
              <w:t>от 2026 г.</w:t>
            </w:r>
            <w:r w:rsidR="00CB0BC7" w:rsidRPr="001B5639">
              <w:rPr>
                <w:rFonts w:ascii="Times New Roman" w:eastAsia="Times New Roman" w:hAnsi="Times New Roman" w:cs="Times New Roman"/>
                <w:noProof/>
                <w:color w:val="FF0000"/>
                <w:sz w:val="24"/>
                <w:szCs w:val="24"/>
              </w:rPr>
              <w:t xml:space="preserve"> могат да се поемат нови ангажименти с продължителност</w:t>
            </w:r>
            <w:r w:rsidR="007F6A0D" w:rsidRPr="001B5639">
              <w:rPr>
                <w:rFonts w:ascii="Times New Roman" w:eastAsia="Times New Roman" w:hAnsi="Times New Roman" w:cs="Times New Roman"/>
                <w:noProof/>
                <w:color w:val="FF0000"/>
                <w:sz w:val="24"/>
                <w:szCs w:val="24"/>
              </w:rPr>
              <w:t xml:space="preserve"> </w:t>
            </w:r>
            <w:r w:rsidR="00CB0BC7" w:rsidRPr="00215135">
              <w:rPr>
                <w:rFonts w:ascii="Times New Roman" w:eastAsia="Times New Roman" w:hAnsi="Times New Roman" w:cs="Times New Roman"/>
                <w:noProof/>
                <w:color w:val="FF0000"/>
                <w:sz w:val="24"/>
                <w:szCs w:val="24"/>
              </w:rPr>
              <w:t>3 г.</w:t>
            </w:r>
            <w:r w:rsidR="00CB0BC7" w:rsidRPr="001B5639">
              <w:rPr>
                <w:rFonts w:ascii="Times New Roman" w:eastAsia="Times New Roman" w:hAnsi="Times New Roman" w:cs="Times New Roman"/>
                <w:noProof/>
                <w:color w:val="FF0000"/>
                <w:sz w:val="24"/>
                <w:szCs w:val="24"/>
              </w:rPr>
              <w:t xml:space="preserve"> </w:t>
            </w:r>
          </w:p>
          <w:p w:rsidR="001B5639" w:rsidRDefault="001B5639" w:rsidP="001B5639">
            <w:pPr>
              <w:spacing w:before="40" w:after="40" w:line="240" w:lineRule="auto"/>
              <w:jc w:val="both"/>
              <w:rPr>
                <w:rFonts w:ascii="Times New Roman" w:eastAsia="Times New Roman" w:hAnsi="Times New Roman" w:cs="Times New Roman"/>
                <w:noProof/>
                <w:sz w:val="24"/>
                <w:szCs w:val="24"/>
                <w:lang w:val="bg-BG"/>
              </w:rPr>
            </w:pPr>
          </w:p>
          <w:p w:rsidR="000030C2" w:rsidRPr="000030C2" w:rsidRDefault="000030C2" w:rsidP="001B5639">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Земеделските стопани могат да не предоставят доказателства за добита продукция от всеки заявен парцел и доказателства за реализация на сертифицирана биологична продукция, когато заявеният по операцията земеделски парцел е зает с биологични трайни насаждения, които са в младенчески период, който включва годините на създаване и отглеждане до встъпване в плододаване. Подробни правила ще бъдат разписани в националното законодателство.</w:t>
            </w:r>
          </w:p>
        </w:tc>
      </w:tr>
    </w:tbl>
    <w:p w:rsidR="00144255" w:rsidRDefault="00144255"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7" w:name="_Toc256000009"/>
    </w:p>
    <w:p w:rsidR="009630FF" w:rsidRDefault="009630FF" w:rsidP="000030C2">
      <w:pPr>
        <w:spacing w:before="20" w:after="20" w:line="240" w:lineRule="auto"/>
        <w:outlineLvl w:val="4"/>
        <w:rPr>
          <w:rFonts w:ascii="Times New Roman" w:eastAsia="Times New Roman" w:hAnsi="Times New Roman" w:cs="Times New Roman"/>
          <w:bCs/>
          <w:iCs/>
          <w:noProof/>
          <w:color w:val="000000"/>
          <w:sz w:val="24"/>
          <w:szCs w:val="26"/>
          <w:lang w:val="bg-BG"/>
        </w:rPr>
      </w:pPr>
    </w:p>
    <w:p w:rsidR="009630FF" w:rsidRDefault="009630FF" w:rsidP="000030C2">
      <w:pPr>
        <w:spacing w:before="20" w:after="20" w:line="240" w:lineRule="auto"/>
        <w:outlineLvl w:val="4"/>
        <w:rPr>
          <w:rFonts w:ascii="Times New Roman" w:eastAsia="Times New Roman" w:hAnsi="Times New Roman" w:cs="Times New Roman"/>
          <w:bCs/>
          <w:iCs/>
          <w:noProof/>
          <w:color w:val="000000"/>
          <w:sz w:val="24"/>
          <w:szCs w:val="26"/>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lastRenderedPageBreak/>
        <w:t>6 Определяне на уместни базови характеристики</w:t>
      </w:r>
      <w:bookmarkEnd w:id="7"/>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144255" w:rsidRDefault="00144255"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Списък на приложимите стандарти за ДЗЕС и ЗИУ</w:t>
      </w:r>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Описание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Защита на влажните зони и торфищата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Забрана за изгаряне на стърнища от полски култури, освен по фитосанитарни причини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Изграждане на буферни ивици по продължението на водните басейни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Управление на обработката на почвата с цел намаляване на опасността от деградация и ерозия на почвата, включително предвид ъгъла на наклона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Минимално покриване на почвата с цел избягване на голи почви в най-чувствителните периоди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Сеитбооборот върху обработваема земя, с изключение на култури, отглеждани под вода</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GAEC08</w:t>
            </w:r>
            <w:bookmarkStart w:id="8" w:name="_GoBack"/>
            <w:bookmarkEnd w:id="8"/>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Минимален дял земеделска площ, предназначена за непроизводствени площи или обекти. Минимален дял от най-малко 4 % от обработваемата земя на равнище земеделско стопанство, предназначена за непроизводствени площи и обекти, включително земя, оставена под угар. Когато земеделски стопанин се ангажира да отдели най-малко 7 % от обработваемата си земя за непроизводствени площи или обекти, включително земя, оставена под угар, в рамките на подобрена екосхема в съответствие с член 31, параграф 6, делът, с който се покрива спазването на настоящия стандарт за ДЗЕС, се ограничава до 3 %. Минимален дял от най-малко 7 % от обработваемата земя на равнище земеделско стопанство, ако това включва също междинни култури или култури, които обогатяват почвата с азот, отглеждани без използването на продукти за растителна защита, от които 3 % са земя, оставена под угар, или непроизводствени обекти. Държавите членки следва да използват тегловен коефициент 0,3 за междинните култури. Запазване на особеностите на ландшафта. Забрана за рязане на живи плетове и дървета през размножителния период и периода на отглеждане при птиците. Прилагане, по възможност, на мерки за избягване на инвазивни растителни видове.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7C43A1" w:rsidRDefault="000030C2" w:rsidP="000030C2">
            <w:pPr>
              <w:spacing w:before="20" w:after="20" w:line="240" w:lineRule="auto"/>
              <w:rPr>
                <w:rFonts w:ascii="Times New Roman" w:eastAsia="Times New Roman" w:hAnsi="Times New Roman" w:cs="Times New Roman"/>
                <w:strike/>
                <w:color w:val="FF0000"/>
                <w:sz w:val="20"/>
                <w:szCs w:val="24"/>
                <w:lang w:val="bg-BG"/>
              </w:rPr>
            </w:pPr>
            <w:r w:rsidRPr="007C43A1">
              <w:rPr>
                <w:rFonts w:ascii="Times New Roman" w:eastAsia="Times New Roman" w:hAnsi="Times New Roman" w:cs="Times New Roman"/>
                <w:strike/>
                <w:noProof/>
                <w:color w:val="FF0000"/>
                <w:sz w:val="20"/>
                <w:szCs w:val="24"/>
                <w:lang w:val="bg-BG"/>
              </w:rPr>
              <w:t>GAEC09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7C43A1" w:rsidRDefault="000030C2" w:rsidP="000030C2">
            <w:pPr>
              <w:spacing w:before="20" w:after="20" w:line="240" w:lineRule="auto"/>
              <w:rPr>
                <w:rFonts w:ascii="Times New Roman" w:eastAsia="Times New Roman" w:hAnsi="Times New Roman" w:cs="Times New Roman"/>
                <w:strike/>
                <w:color w:val="FF0000"/>
                <w:sz w:val="20"/>
                <w:szCs w:val="24"/>
                <w:lang w:val="bg-BG"/>
              </w:rPr>
            </w:pPr>
            <w:r w:rsidRPr="007C43A1">
              <w:rPr>
                <w:rFonts w:ascii="Times New Roman" w:eastAsia="Times New Roman" w:hAnsi="Times New Roman" w:cs="Times New Roman"/>
                <w:strike/>
                <w:noProof/>
                <w:color w:val="FF0000"/>
                <w:sz w:val="20"/>
                <w:szCs w:val="24"/>
                <w:lang w:val="bg-BG"/>
              </w:rPr>
              <w:t>Забрана за промяна на предназначението или разораване на постоянно затревени площи, обозначени като екологично чувствителни постоянно затревени площи в зони от обхвата на „Натура 2000“</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2000/60/ЕО на Европейския парламент и на Съвета от 23 октомври 2000 г. за установяване на рамка за действията на Общността в областта на политиката за водите: член 11, параграф 3, букви д) и з) по отношение на задължителните изисквания за контрол на дифузни източници на замърсяване с фосфати</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91/676/ЕИО на Съвета от 12 декември 1991 г. за опазване на водите от замърсяване с нитрати от селскостопански източници: членове 4 и 5</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Директива 2009/147/ЕО на Европейския парламент и на Съвета от 30 ноември 2009 г. относно опазването на </w:t>
            </w:r>
            <w:r w:rsidRPr="000030C2">
              <w:rPr>
                <w:rFonts w:ascii="Times New Roman" w:eastAsia="Times New Roman" w:hAnsi="Times New Roman" w:cs="Times New Roman"/>
                <w:noProof/>
                <w:color w:val="000000"/>
                <w:sz w:val="20"/>
                <w:szCs w:val="24"/>
                <w:lang w:val="bg-BG"/>
              </w:rPr>
              <w:lastRenderedPageBreak/>
              <w:t>дивите птици: член 3, параграф 1,член 3, параграф 2, буква б), член 4, параграфи 1, 2 и 4</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lastRenderedPageBreak/>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92/43/ЕИО на Съвета от 21 май 1992 г. за опазване на естествените местообитания и на дивата флора и фауна: член 6, параграфи 1 и 2</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и за определяне на процедури относно безопасността на храните: член 14, член 15, член 17, параграф 1 и членове 18, 19 и 20</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0030C2" w:rsidRPr="000030C2" w:rsidTr="008C688B">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Неприложимо.</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Биологичното растениевъдство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 </w:t>
            </w:r>
          </w:p>
        </w:tc>
      </w:tr>
    </w:tbl>
    <w:p w:rsidR="008646DE" w:rsidRDefault="008646DE"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9" w:name="_Toc256000010"/>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7 Форма и ставка на подпомагане/суми/методи за изчисляване</w:t>
      </w:r>
      <w:bookmarkEnd w:id="9"/>
    </w:p>
    <w:p w:rsidR="000030C2" w:rsidRPr="000030C2" w:rsidRDefault="000030C2" w:rsidP="000030C2">
      <w:pPr>
        <w:spacing w:before="20" w:after="20" w:line="240" w:lineRule="auto"/>
        <w:rPr>
          <w:rFonts w:ascii="Times New Roman" w:eastAsia="Times New Roman" w:hAnsi="Times New Roman" w:cs="Times New Roman"/>
          <w:b/>
          <w:color w:val="000000"/>
          <w:sz w:val="24"/>
          <w:szCs w:val="24"/>
          <w:lang w:val="bg-BG"/>
        </w:rPr>
      </w:pPr>
      <w:r w:rsidRPr="000030C2">
        <w:rPr>
          <w:rFonts w:ascii="Wingdings" w:eastAsia="Wingdings" w:hAnsi="Wingdings" w:cs="Wingdings"/>
          <w:b/>
          <w:noProof/>
          <w:color w:val="000000"/>
          <w:sz w:val="24"/>
          <w:szCs w:val="24"/>
          <w:lang w:val="bg-BG"/>
        </w:rPr>
        <w:t></w:t>
      </w:r>
      <w:r w:rsidRPr="000030C2">
        <w:rPr>
          <w:rFonts w:ascii="Times New Roman" w:eastAsia="Times New Roman" w:hAnsi="Times New Roman" w:cs="Times New Roman"/>
          <w:b/>
          <w:noProof/>
          <w:color w:val="000000"/>
          <w:sz w:val="24"/>
          <w:szCs w:val="24"/>
          <w:lang w:val="bg-BG"/>
        </w:rPr>
        <w:t xml:space="preserve"> В обхвата на ИСАК</w:t>
      </w:r>
    </w:p>
    <w:p w:rsidR="000030C2" w:rsidRPr="000030C2" w:rsidRDefault="000030C2" w:rsidP="000030C2">
      <w:pPr>
        <w:spacing w:before="20" w:after="20" w:line="240" w:lineRule="auto"/>
        <w:rPr>
          <w:rFonts w:ascii="Times New Roman" w:eastAsia="Times New Roman" w:hAnsi="Times New Roman" w:cs="Times New Roman"/>
          <w:b/>
          <w:color w:val="000000"/>
          <w:sz w:val="24"/>
          <w:szCs w:val="24"/>
          <w:lang w:val="bg-BG"/>
        </w:rPr>
      </w:pPr>
      <w:r w:rsidRPr="000030C2">
        <w:rPr>
          <w:rFonts w:ascii="Wingdings" w:eastAsia="Wingdings" w:hAnsi="Wingdings" w:cs="Wingdings"/>
          <w:b/>
          <w:noProof/>
          <w:color w:val="000000"/>
          <w:sz w:val="24"/>
          <w:szCs w:val="24"/>
          <w:lang w:val="bg-BG"/>
        </w:rPr>
        <w:t></w:t>
      </w:r>
      <w:r w:rsidRPr="000030C2">
        <w:rPr>
          <w:rFonts w:ascii="Times New Roman" w:eastAsia="Times New Roman" w:hAnsi="Times New Roman" w:cs="Times New Roman"/>
          <w:b/>
          <w:noProof/>
          <w:color w:val="000000"/>
          <w:sz w:val="24"/>
          <w:szCs w:val="24"/>
          <w:lang w:val="bg-BG"/>
        </w:rPr>
        <w:t xml:space="preserve"> Извън обхвата на ИСАК</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8"/>
          <w:szCs w:val="24"/>
          <w:lang w:val="bg-BG"/>
        </w:rPr>
      </w:pPr>
      <w:r w:rsidRPr="000030C2">
        <w:rPr>
          <w:rFonts w:ascii="Times New Roman" w:eastAsia="Times New Roman" w:hAnsi="Times New Roman" w:cs="Times New Roman"/>
          <w:noProof/>
          <w:color w:val="000000"/>
          <w:sz w:val="28"/>
          <w:szCs w:val="24"/>
          <w:lang w:val="bg-BG"/>
        </w:rPr>
        <w:t>Раздел в обхвата на ИСАК</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Вид на плащането</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производствени разходи въз основа на допълнителните разходи и пропуснатите приходи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включени трансакционни разходи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еднократно плащане</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еднократна сума</w:t>
      </w:r>
    </w:p>
    <w:p w:rsidR="000030C2" w:rsidRPr="000030C2" w:rsidRDefault="000030C2" w:rsidP="000030C2">
      <w:pPr>
        <w:spacing w:before="20" w:after="20" w:line="240" w:lineRule="auto"/>
        <w:rPr>
          <w:rFonts w:ascii="Times New Roman" w:eastAsia="Times New Roman" w:hAnsi="Times New Roman" w:cs="Times New Roman"/>
          <w:color w:val="000000"/>
          <w:sz w:val="12"/>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b/>
                <w:bCs/>
                <w:noProof/>
                <w:sz w:val="24"/>
                <w:szCs w:val="24"/>
                <w:lang w:val="bg-BG"/>
              </w:rPr>
              <w:t>Подпомагането се предоставя под формата на годишни плащания на хектар използваема земеделска площ</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дейностите по операциите от интервенцията финансовото подпомагането се определя въз основа на дегресивни ставки на база заявения размер на площи от съответната група култури в стопанството.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lastRenderedPageBreak/>
              <w:t>Изчисленията се извършват на база средния размер на нивата на плащане към декларирани площи, определени както следва: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u w:val="single"/>
                <w:lang w:val="bg-BG"/>
              </w:rPr>
              <w:t>Размер на площите        Ставка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50 ха                                 100%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от 50.01 ха. до 100 ха.          70%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100 ха                             10%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културите попадащи в групата на полските култури, фуражните култури, както и за маслодайната роза изчисленията се извършват на база средния размер на нивата на плащане към декларираните площи както следва: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u w:val="single"/>
                <w:lang w:val="bg-BG"/>
              </w:rPr>
              <w:t>Размер на площите              Ставка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до 200 ха                               100%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200 ха. до 300 ха.            70%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над 300 ха                              10%</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Подпомагането за сортове маслодайна роза от вида на Rosa damascena и Rosa Alba ще се извършва само на територията определена в географския район на защитеното географско указание „Българско розово масло“.</w:t>
            </w:r>
          </w:p>
          <w:p w:rsidR="00542CD9" w:rsidRDefault="00542CD9" w:rsidP="000030C2">
            <w:pPr>
              <w:spacing w:before="40" w:after="40" w:line="240" w:lineRule="auto"/>
              <w:jc w:val="both"/>
              <w:rPr>
                <w:rFonts w:ascii="Times New Roman" w:eastAsia="Times New Roman" w:hAnsi="Times New Roman" w:cs="Times New Roman"/>
                <w:noProof/>
                <w:sz w:val="24"/>
                <w:szCs w:val="24"/>
              </w:rPr>
            </w:pPr>
          </w:p>
          <w:p w:rsidR="00542CD9" w:rsidRPr="001269B5" w:rsidRDefault="00542CD9" w:rsidP="000030C2">
            <w:pPr>
              <w:spacing w:before="40" w:after="40" w:line="240" w:lineRule="auto"/>
              <w:jc w:val="both"/>
              <w:rPr>
                <w:rFonts w:ascii="Times New Roman" w:eastAsia="Times New Roman" w:hAnsi="Times New Roman" w:cs="Times New Roman"/>
                <w:noProof/>
                <w:color w:val="FF0000"/>
                <w:sz w:val="24"/>
                <w:szCs w:val="24"/>
                <w:lang w:val="bg-BG"/>
              </w:rPr>
            </w:pPr>
            <w:r w:rsidRPr="00542CD9">
              <w:rPr>
                <w:rFonts w:ascii="Times New Roman" w:eastAsia="Times New Roman" w:hAnsi="Times New Roman" w:cs="Times New Roman"/>
                <w:noProof/>
                <w:color w:val="FF0000"/>
                <w:sz w:val="24"/>
                <w:szCs w:val="24"/>
                <w:lang w:val="bg-BG"/>
              </w:rPr>
              <w:t>За културите</w:t>
            </w:r>
            <w:r w:rsidR="00215135">
              <w:rPr>
                <w:rFonts w:ascii="Times New Roman" w:eastAsia="Times New Roman" w:hAnsi="Times New Roman" w:cs="Times New Roman"/>
                <w:noProof/>
                <w:color w:val="FF0000"/>
                <w:sz w:val="24"/>
                <w:szCs w:val="24"/>
                <w:lang w:val="bg-BG"/>
              </w:rPr>
              <w:t>,</w:t>
            </w:r>
            <w:r w:rsidRPr="00542CD9">
              <w:rPr>
                <w:rFonts w:ascii="Times New Roman" w:eastAsia="Times New Roman" w:hAnsi="Times New Roman" w:cs="Times New Roman"/>
                <w:noProof/>
                <w:color w:val="FF0000"/>
                <w:sz w:val="24"/>
                <w:szCs w:val="24"/>
                <w:lang w:val="bg-BG"/>
              </w:rPr>
              <w:t xml:space="preserve"> попадащи в групата на „Смесени зеленчукови култури на открито“</w:t>
            </w:r>
            <w:r w:rsidR="00215135">
              <w:rPr>
                <w:rFonts w:ascii="Times New Roman" w:eastAsia="Times New Roman" w:hAnsi="Times New Roman" w:cs="Times New Roman"/>
                <w:noProof/>
                <w:color w:val="FF0000"/>
                <w:sz w:val="24"/>
                <w:szCs w:val="24"/>
                <w:lang w:val="bg-BG"/>
              </w:rPr>
              <w:t>,</w:t>
            </w:r>
            <w:r w:rsidRPr="00542CD9">
              <w:rPr>
                <w:rFonts w:ascii="Times New Roman" w:eastAsia="Times New Roman" w:hAnsi="Times New Roman" w:cs="Times New Roman"/>
                <w:noProof/>
                <w:color w:val="FF0000"/>
                <w:sz w:val="24"/>
                <w:szCs w:val="24"/>
                <w:lang w:val="bg-BG"/>
              </w:rPr>
              <w:t xml:space="preserve"> максималн</w:t>
            </w:r>
            <w:r w:rsidR="001269B5">
              <w:rPr>
                <w:rFonts w:ascii="Times New Roman" w:eastAsia="Times New Roman" w:hAnsi="Times New Roman" w:cs="Times New Roman"/>
                <w:noProof/>
                <w:color w:val="FF0000"/>
                <w:sz w:val="24"/>
                <w:szCs w:val="24"/>
                <w:lang w:val="bg-BG"/>
              </w:rPr>
              <w:t>о</w:t>
            </w:r>
            <w:r w:rsidRPr="00542CD9">
              <w:rPr>
                <w:rFonts w:ascii="Times New Roman" w:eastAsia="Times New Roman" w:hAnsi="Times New Roman" w:cs="Times New Roman"/>
                <w:noProof/>
                <w:color w:val="FF0000"/>
                <w:sz w:val="24"/>
                <w:szCs w:val="24"/>
                <w:lang w:val="bg-BG"/>
              </w:rPr>
              <w:t xml:space="preserve"> </w:t>
            </w:r>
            <w:r w:rsidR="001269B5" w:rsidRPr="001269B5">
              <w:rPr>
                <w:rFonts w:ascii="Times New Roman" w:eastAsia="Times New Roman" w:hAnsi="Times New Roman" w:cs="Times New Roman"/>
                <w:noProof/>
                <w:color w:val="FF0000"/>
                <w:sz w:val="24"/>
                <w:szCs w:val="24"/>
                <w:lang w:val="en-US"/>
              </w:rPr>
              <w:t xml:space="preserve">допустимата за подпомагане площ е до </w:t>
            </w:r>
            <w:r w:rsidR="001269B5">
              <w:rPr>
                <w:rFonts w:ascii="Times New Roman" w:eastAsia="Times New Roman" w:hAnsi="Times New Roman" w:cs="Times New Roman"/>
                <w:noProof/>
                <w:color w:val="FF0000"/>
                <w:sz w:val="24"/>
                <w:szCs w:val="24"/>
                <w:lang w:val="bg-BG"/>
              </w:rPr>
              <w:t xml:space="preserve">5 </w:t>
            </w:r>
            <w:r w:rsidR="001269B5" w:rsidRPr="001269B5">
              <w:rPr>
                <w:rFonts w:ascii="Times New Roman" w:eastAsia="Times New Roman" w:hAnsi="Times New Roman" w:cs="Times New Roman"/>
                <w:noProof/>
                <w:color w:val="FF0000"/>
                <w:sz w:val="24"/>
                <w:szCs w:val="24"/>
                <w:lang w:val="en-US"/>
              </w:rPr>
              <w:t>ха</w:t>
            </w:r>
            <w:r w:rsidR="001269B5">
              <w:rPr>
                <w:rFonts w:ascii="Times New Roman" w:eastAsia="Times New Roman" w:hAnsi="Times New Roman" w:cs="Times New Roman"/>
                <w:noProof/>
                <w:color w:val="FF0000"/>
                <w:sz w:val="24"/>
                <w:szCs w:val="24"/>
                <w:lang w:val="bg-BG"/>
              </w:rPr>
              <w:t>. За културите</w:t>
            </w:r>
            <w:r w:rsidR="00215135">
              <w:rPr>
                <w:rFonts w:ascii="Times New Roman" w:eastAsia="Times New Roman" w:hAnsi="Times New Roman" w:cs="Times New Roman"/>
                <w:noProof/>
                <w:color w:val="FF0000"/>
                <w:sz w:val="24"/>
                <w:szCs w:val="24"/>
                <w:lang w:val="bg-BG"/>
              </w:rPr>
              <w:t>,</w:t>
            </w:r>
            <w:r w:rsidR="001269B5">
              <w:rPr>
                <w:rFonts w:ascii="Times New Roman" w:eastAsia="Times New Roman" w:hAnsi="Times New Roman" w:cs="Times New Roman"/>
                <w:noProof/>
                <w:color w:val="FF0000"/>
                <w:sz w:val="24"/>
                <w:szCs w:val="24"/>
                <w:lang w:val="bg-BG"/>
              </w:rPr>
              <w:t xml:space="preserve"> попадащи в групите „Отопляеми оранжерийни площи – смесени зеленчукови култури“ и „Неотопляеми </w:t>
            </w:r>
            <w:r w:rsidR="001269B5" w:rsidRPr="001269B5">
              <w:rPr>
                <w:rFonts w:ascii="Times New Roman" w:eastAsia="Times New Roman" w:hAnsi="Times New Roman" w:cs="Times New Roman"/>
                <w:noProof/>
                <w:color w:val="FF0000"/>
                <w:sz w:val="24"/>
                <w:szCs w:val="24"/>
                <w:lang w:val="bg-BG"/>
              </w:rPr>
              <w:t>оранжерийни площи – смесени зеленчукови култури</w:t>
            </w:r>
            <w:r w:rsidR="001269B5">
              <w:rPr>
                <w:rFonts w:ascii="Times New Roman" w:eastAsia="Times New Roman" w:hAnsi="Times New Roman" w:cs="Times New Roman"/>
                <w:noProof/>
                <w:color w:val="FF0000"/>
                <w:sz w:val="24"/>
                <w:szCs w:val="24"/>
                <w:lang w:val="bg-BG"/>
              </w:rPr>
              <w:t>“  максимално допустимата площ е до 2 ха.</w:t>
            </w:r>
          </w:p>
          <w:p w:rsidR="00D61DDE" w:rsidRPr="00D61DDE" w:rsidRDefault="00D61DDE" w:rsidP="00D61DDE">
            <w:pPr>
              <w:spacing w:before="40" w:after="40" w:line="240" w:lineRule="auto"/>
              <w:jc w:val="both"/>
              <w:rPr>
                <w:rFonts w:ascii="Times New Roman" w:eastAsia="Times New Roman" w:hAnsi="Times New Roman" w:cs="Times New Roman"/>
                <w:noProof/>
                <w:color w:val="FF0000"/>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8646DE" w:rsidRDefault="008646DE" w:rsidP="000030C2">
            <w:pPr>
              <w:spacing w:before="40" w:after="40" w:line="240" w:lineRule="auto"/>
              <w:rPr>
                <w:rFonts w:ascii="Times New Roman" w:eastAsia="Times New Roman" w:hAnsi="Times New Roman" w:cs="Times New Roman"/>
                <w:noProof/>
                <w:sz w:val="24"/>
                <w:szCs w:val="24"/>
                <w:lang w:val="bg-BG"/>
              </w:rPr>
            </w:pPr>
          </w:p>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Нивата на подпомагане са както следвa</w:t>
            </w:r>
          </w:p>
          <w:tbl>
            <w:tblPr>
              <w:tblStyle w:val="quill-better-table"/>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5E0" w:firstRow="1" w:lastRow="1" w:firstColumn="1" w:lastColumn="1" w:noHBand="0" w:noVBand="1"/>
            </w:tblPr>
            <w:tblGrid>
              <w:gridCol w:w="536"/>
              <w:gridCol w:w="4556"/>
              <w:gridCol w:w="2546"/>
              <w:gridCol w:w="2546"/>
            </w:tblGrid>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0030C2" w:rsidRPr="000030C2" w:rsidRDefault="000030C2" w:rsidP="000030C2">
                  <w:pPr>
                    <w:rPr>
                      <w:color w:val="000000"/>
                      <w:sz w:val="24"/>
                      <w:szCs w:val="24"/>
                      <w:lang w:val="bg-BG"/>
                    </w:rPr>
                  </w:pP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b/>
                      <w:bCs/>
                      <w:noProof/>
                      <w:color w:val="000000"/>
                      <w:sz w:val="24"/>
                      <w:szCs w:val="24"/>
                      <w:lang w:val="bg-BG"/>
                    </w:rPr>
                    <w:t>Основни типове земеделски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Преход</w:t>
                  </w:r>
                </w:p>
                <w:p w:rsidR="000030C2" w:rsidRPr="000030C2" w:rsidRDefault="000030C2" w:rsidP="000030C2">
                  <w:pPr>
                    <w:spacing w:before="240"/>
                    <w:rPr>
                      <w:color w:val="000000"/>
                      <w:sz w:val="24"/>
                      <w:szCs w:val="24"/>
                      <w:lang w:val="bg-BG"/>
                    </w:rPr>
                  </w:pP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Био</w:t>
                  </w:r>
                </w:p>
                <w:p w:rsidR="000030C2" w:rsidRPr="000030C2" w:rsidRDefault="000030C2" w:rsidP="000030C2">
                  <w:pPr>
                    <w:spacing w:before="240"/>
                    <w:rPr>
                      <w:color w:val="000000"/>
                      <w:sz w:val="24"/>
                      <w:szCs w:val="24"/>
                      <w:lang w:val="bg-BG"/>
                    </w:rPr>
                  </w:pP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Зърнено-житни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359.92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285.56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Зърнено-бобови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223.73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177.51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индустриални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255.69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202.86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маслодайни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324.97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257.84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влакнодайни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250.22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198.52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394.16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333.06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759.27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589.26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листностъблени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744.08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577.48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кореноплодни зеленчукови култури, картофи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698.53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542.12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луковични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455.56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353.56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lastRenderedPageBreak/>
                    <w:t>11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многогодишни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759.27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589.26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2163.92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1679.4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Неотопляеми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857.97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665.87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Десертни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1352.94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1094.73</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Винени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646.19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522.86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Семкови и костилкови овощни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1461.65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1182.7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Ядкови (черупкови)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735.76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595.34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Ягодоплодни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1461.65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1182.7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Многогодишни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628.3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530.9</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Маслодайна роза – Rosa damascena Mill и Rosa alba L</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897.45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837.5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Култивирани гъби(субстрати от компоненти съгласно Приложение 2, част I, т, 2,1 от Регламент (ЕО) 848/2018)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455.56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353.56</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Площи за производство на биологичен растителен репродуктивен материал и растителен репродуктивен материал, произведен при преход към биологично производство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949.09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736.58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Билки и горски плодове (по списък, утвърден в националното законодателство)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723.75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585.63</w:t>
                  </w:r>
                </w:p>
              </w:tc>
            </w:tr>
          </w:tbl>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За заявените за подпомагане площи след 01.01.2024 г. нивата на подпомагане са:</w:t>
            </w:r>
          </w:p>
          <w:tbl>
            <w:tblPr>
              <w:tblStyle w:val="quill-better-table"/>
              <w:tblW w:w="5000" w:type="pct"/>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5E0" w:firstRow="1" w:lastRow="1" w:firstColumn="1" w:lastColumn="1" w:noHBand="0" w:noVBand="1"/>
            </w:tblPr>
            <w:tblGrid>
              <w:gridCol w:w="536"/>
              <w:gridCol w:w="4556"/>
              <w:gridCol w:w="2546"/>
              <w:gridCol w:w="2546"/>
            </w:tblGrid>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0030C2" w:rsidRPr="000030C2" w:rsidRDefault="000030C2" w:rsidP="000030C2">
                  <w:pPr>
                    <w:rPr>
                      <w:color w:val="000000"/>
                      <w:sz w:val="24"/>
                      <w:szCs w:val="24"/>
                      <w:lang w:val="bg-BG"/>
                    </w:rPr>
                  </w:pP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b/>
                      <w:bCs/>
                      <w:noProof/>
                      <w:color w:val="000000"/>
                      <w:sz w:val="24"/>
                      <w:szCs w:val="24"/>
                      <w:lang w:val="bg-BG"/>
                    </w:rPr>
                    <w:t>Основни типове земеделски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Преход</w:t>
                  </w:r>
                </w:p>
                <w:p w:rsidR="000030C2" w:rsidRPr="000030C2" w:rsidRDefault="000030C2" w:rsidP="000030C2">
                  <w:pPr>
                    <w:spacing w:before="240"/>
                    <w:rPr>
                      <w:color w:val="000000"/>
                      <w:sz w:val="24"/>
                      <w:szCs w:val="24"/>
                      <w:lang w:val="bg-BG"/>
                    </w:rPr>
                  </w:pP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spacing w:after="240"/>
                    <w:rPr>
                      <w:color w:val="000000"/>
                      <w:sz w:val="24"/>
                      <w:szCs w:val="24"/>
                      <w:lang w:val="bg-BG"/>
                    </w:rPr>
                  </w:pPr>
                  <w:r w:rsidRPr="000030C2">
                    <w:rPr>
                      <w:b/>
                      <w:bCs/>
                      <w:noProof/>
                      <w:color w:val="000000"/>
                      <w:sz w:val="24"/>
                      <w:szCs w:val="24"/>
                      <w:lang w:val="bg-BG"/>
                    </w:rPr>
                    <w:t>Био</w:t>
                  </w:r>
                </w:p>
                <w:p w:rsidR="000030C2" w:rsidRPr="000030C2" w:rsidRDefault="000030C2" w:rsidP="000030C2">
                  <w:pPr>
                    <w:spacing w:before="240"/>
                    <w:rPr>
                      <w:color w:val="000000"/>
                      <w:sz w:val="24"/>
                      <w:szCs w:val="24"/>
                      <w:lang w:val="bg-BG"/>
                    </w:rPr>
                  </w:pP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Зърнено-житни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371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297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Зърнено-бобови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индустриални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264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маслодайни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335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268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влакнодайни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258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Технически култури -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445</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384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Фуражни култури - едногодишни фуражни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 xml:space="preserve">Фуражни култури - многогодишни фуражни култури </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182</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159</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1038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862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листностъблени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966</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801</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кореноплодни зеленчукови култури, картофи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987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818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луковични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517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lastRenderedPageBreak/>
                    <w:t>13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Зеленчуци - многогодишни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1038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862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2960</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2455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Неотопляеми оранжерийни площи - плодови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1173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974</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16</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Десертни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1448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1190</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Винени лозя</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931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765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Семкови и костилкови овощни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1499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1232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19</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Ядкови (черупкови)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787</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647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20</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Ягодоплодни видове</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1564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1285</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21</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Многогодишни медицински и ароматни култури, без билки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709</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612</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22</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Маслодайна роза – Rosa damascena Mill и Rosa alba L</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981</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928</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23</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Култивирани гъби(субстрати от компоненти съгласно Приложение 2, част I, т, 2,1 от Регламент (ЕО) 848/2018)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623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517</w:t>
                  </w:r>
                </w:p>
              </w:tc>
            </w:tr>
            <w:tr w:rsidR="000030C2"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24</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Площи за производство на биологичен растителен репродуктивен материал и растителен репродуктивен материал, произведен при преход към биологично производство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1298</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hideMark/>
                </w:tcPr>
                <w:p w:rsidR="000030C2" w:rsidRPr="000030C2" w:rsidRDefault="000030C2" w:rsidP="000030C2">
                  <w:pPr>
                    <w:rPr>
                      <w:color w:val="000000"/>
                      <w:sz w:val="24"/>
                      <w:szCs w:val="24"/>
                      <w:lang w:val="bg-BG"/>
                    </w:rPr>
                  </w:pPr>
                  <w:r w:rsidRPr="000030C2">
                    <w:rPr>
                      <w:noProof/>
                      <w:color w:val="000000"/>
                      <w:sz w:val="24"/>
                      <w:szCs w:val="24"/>
                      <w:lang w:val="bg-BG"/>
                    </w:rPr>
                    <w:t>1077</w:t>
                  </w:r>
                </w:p>
              </w:tc>
            </w:tr>
            <w:tr w:rsidR="00D61DDE"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25</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Билки и горски плодове (по списък, утвърден в националното законодателство)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D61DDE" w:rsidRPr="000030C2" w:rsidRDefault="00D61DDE" w:rsidP="00D61DDE">
                  <w:pPr>
                    <w:rPr>
                      <w:noProof/>
                      <w:color w:val="000000"/>
                      <w:sz w:val="24"/>
                      <w:szCs w:val="24"/>
                      <w:lang w:val="bg-BG"/>
                    </w:rPr>
                  </w:pPr>
                  <w:r w:rsidRPr="000030C2">
                    <w:rPr>
                      <w:noProof/>
                      <w:color w:val="000000"/>
                      <w:sz w:val="24"/>
                      <w:szCs w:val="24"/>
                      <w:lang w:val="bg-BG"/>
                    </w:rPr>
                    <w:t>774</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1269B5" w:rsidRPr="000030C2" w:rsidRDefault="00D61DDE" w:rsidP="00D61DDE">
                  <w:pPr>
                    <w:rPr>
                      <w:noProof/>
                      <w:color w:val="000000"/>
                      <w:sz w:val="24"/>
                      <w:szCs w:val="24"/>
                      <w:lang w:val="bg-BG"/>
                    </w:rPr>
                  </w:pPr>
                  <w:r w:rsidRPr="000030C2">
                    <w:rPr>
                      <w:noProof/>
                      <w:color w:val="000000"/>
                      <w:sz w:val="24"/>
                      <w:szCs w:val="24"/>
                      <w:lang w:val="bg-BG"/>
                    </w:rPr>
                    <w:t>636</w:t>
                  </w:r>
                </w:p>
              </w:tc>
            </w:tr>
            <w:tr w:rsidR="001269B5" w:rsidRPr="000030C2" w:rsidTr="00841D04">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1269B5" w:rsidRPr="00215135" w:rsidRDefault="001269B5" w:rsidP="00D61DDE">
                  <w:pPr>
                    <w:rPr>
                      <w:noProof/>
                      <w:color w:val="FF0000"/>
                      <w:sz w:val="24"/>
                      <w:szCs w:val="24"/>
                      <w:lang w:val="bg-BG"/>
                    </w:rPr>
                  </w:pPr>
                  <w:r w:rsidRPr="00215135">
                    <w:rPr>
                      <w:noProof/>
                      <w:color w:val="FF0000"/>
                      <w:sz w:val="24"/>
                      <w:szCs w:val="24"/>
                      <w:lang w:val="bg-BG"/>
                    </w:rPr>
                    <w:t xml:space="preserve">26 </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1269B5" w:rsidRPr="00215135" w:rsidRDefault="001269B5" w:rsidP="00D61DDE">
                  <w:pPr>
                    <w:rPr>
                      <w:noProof/>
                      <w:color w:val="FF0000"/>
                      <w:sz w:val="24"/>
                      <w:szCs w:val="24"/>
                      <w:lang w:val="bg-BG"/>
                    </w:rPr>
                  </w:pPr>
                  <w:r w:rsidRPr="00215135">
                    <w:rPr>
                      <w:noProof/>
                      <w:color w:val="FF0000"/>
                      <w:sz w:val="24"/>
                      <w:szCs w:val="24"/>
                      <w:lang w:val="bg-BG"/>
                    </w:rPr>
                    <w:t>Смесени зеленчукови култури на открито</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1269B5" w:rsidRPr="00215135" w:rsidRDefault="000B604C" w:rsidP="00D61DDE">
                  <w:pPr>
                    <w:rPr>
                      <w:noProof/>
                      <w:color w:val="FF0000"/>
                      <w:sz w:val="24"/>
                      <w:szCs w:val="24"/>
                      <w:lang w:val="bg-BG"/>
                    </w:rPr>
                  </w:pPr>
                  <w:r w:rsidRPr="00215135">
                    <w:rPr>
                      <w:noProof/>
                      <w:color w:val="FF0000"/>
                      <w:sz w:val="24"/>
                      <w:szCs w:val="24"/>
                      <w:lang w:val="bg-BG"/>
                    </w:rPr>
                    <w:t>930</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1269B5" w:rsidRPr="00215135" w:rsidRDefault="000B604C" w:rsidP="00D61DDE">
                  <w:pPr>
                    <w:rPr>
                      <w:noProof/>
                      <w:color w:val="FF0000"/>
                      <w:sz w:val="24"/>
                      <w:szCs w:val="24"/>
                      <w:lang w:val="bg-BG"/>
                    </w:rPr>
                  </w:pPr>
                  <w:r w:rsidRPr="00215135">
                    <w:rPr>
                      <w:noProof/>
                      <w:color w:val="FF0000"/>
                      <w:sz w:val="24"/>
                      <w:szCs w:val="24"/>
                      <w:lang w:val="bg-BG"/>
                    </w:rPr>
                    <w:t>772</w:t>
                  </w:r>
                </w:p>
              </w:tc>
            </w:tr>
            <w:tr w:rsidR="00215135" w:rsidRPr="000030C2" w:rsidTr="00215135">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215135" w:rsidRPr="00215135" w:rsidRDefault="00215135" w:rsidP="00215135">
                  <w:pPr>
                    <w:rPr>
                      <w:noProof/>
                      <w:color w:val="FF0000"/>
                      <w:sz w:val="24"/>
                      <w:szCs w:val="24"/>
                      <w:lang w:val="bg-BG"/>
                    </w:rPr>
                  </w:pPr>
                  <w:r w:rsidRPr="00215135">
                    <w:rPr>
                      <w:noProof/>
                      <w:color w:val="FF0000"/>
                      <w:sz w:val="24"/>
                      <w:szCs w:val="24"/>
                      <w:lang w:val="bg-BG"/>
                    </w:rPr>
                    <w:t>27</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Отопляеми оранжерийни площи – смесени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2960</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2455</w:t>
                  </w:r>
                </w:p>
              </w:tc>
            </w:tr>
            <w:tr w:rsidR="00215135" w:rsidRPr="000030C2" w:rsidTr="00215135">
              <w:tc>
                <w:tcPr>
                  <w:tcW w:w="53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vAlign w:val="center"/>
                </w:tcPr>
                <w:p w:rsidR="00215135" w:rsidRPr="00215135" w:rsidRDefault="00215135" w:rsidP="00215135">
                  <w:pPr>
                    <w:rPr>
                      <w:noProof/>
                      <w:color w:val="FF0000"/>
                      <w:sz w:val="24"/>
                      <w:szCs w:val="24"/>
                      <w:lang w:val="bg-BG"/>
                    </w:rPr>
                  </w:pPr>
                  <w:r w:rsidRPr="00215135">
                    <w:rPr>
                      <w:noProof/>
                      <w:color w:val="FF0000"/>
                      <w:sz w:val="24"/>
                      <w:szCs w:val="24"/>
                      <w:lang w:val="bg-BG"/>
                    </w:rPr>
                    <w:t>28</w:t>
                  </w:r>
                </w:p>
              </w:tc>
              <w:tc>
                <w:tcPr>
                  <w:tcW w:w="455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Неотопляеми оранжерийни площи – смесени зеленчукови култури</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1173</w:t>
                  </w:r>
                </w:p>
              </w:tc>
              <w:tc>
                <w:tcPr>
                  <w:tcW w:w="2546" w:type="dxa"/>
                  <w:tcBorders>
                    <w:top w:val="single" w:sz="6" w:space="0" w:color="000000"/>
                    <w:left w:val="single" w:sz="6" w:space="0" w:color="000000"/>
                    <w:bottom w:val="single" w:sz="6" w:space="0" w:color="000000"/>
                    <w:right w:val="single" w:sz="6" w:space="0" w:color="000000"/>
                  </w:tcBorders>
                  <w:tcMar>
                    <w:top w:w="15" w:type="dxa"/>
                    <w:left w:w="22" w:type="dxa"/>
                    <w:bottom w:w="15" w:type="dxa"/>
                    <w:right w:w="22" w:type="dxa"/>
                  </w:tcMar>
                </w:tcPr>
                <w:p w:rsidR="00215135" w:rsidRPr="00215135" w:rsidRDefault="00215135" w:rsidP="00215135">
                  <w:pPr>
                    <w:rPr>
                      <w:noProof/>
                      <w:color w:val="FF0000"/>
                      <w:sz w:val="24"/>
                      <w:szCs w:val="24"/>
                      <w:lang w:val="bg-BG"/>
                    </w:rPr>
                  </w:pPr>
                  <w:r w:rsidRPr="00215135">
                    <w:rPr>
                      <w:noProof/>
                      <w:color w:val="FF0000"/>
                      <w:sz w:val="24"/>
                      <w:szCs w:val="24"/>
                      <w:lang w:val="bg-BG"/>
                    </w:rPr>
                    <w:t>974</w:t>
                  </w:r>
                </w:p>
              </w:tc>
            </w:tr>
          </w:tbl>
          <w:p w:rsidR="000030C2" w:rsidRPr="000030C2" w:rsidRDefault="000030C2" w:rsidP="000030C2">
            <w:pPr>
              <w:spacing w:after="0" w:line="240" w:lineRule="auto"/>
              <w:rPr>
                <w:rFonts w:ascii="Times New Roman" w:eastAsia="Times New Roman" w:hAnsi="Times New Roman" w:cs="Times New Roman"/>
                <w:sz w:val="24"/>
                <w:szCs w:val="24"/>
                <w:lang w:val="bg-BG"/>
              </w:rPr>
            </w:pP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0030C2">
            <w:pPr>
              <w:spacing w:before="40" w:after="40" w:line="240" w:lineRule="auto"/>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Изчисленията са извършени съгласно изискванията на чл.82 от</w:t>
            </w:r>
            <w:r w:rsidR="00215135">
              <w:rPr>
                <w:rFonts w:ascii="Times New Roman" w:eastAsia="Times New Roman" w:hAnsi="Times New Roman" w:cs="Times New Roman"/>
                <w:noProof/>
                <w:sz w:val="24"/>
                <w:szCs w:val="24"/>
                <w:lang w:val="bg-BG"/>
              </w:rPr>
              <w:t xml:space="preserve"> </w:t>
            </w:r>
            <w:r w:rsidRPr="000030C2">
              <w:rPr>
                <w:rFonts w:ascii="Times New Roman" w:eastAsia="Times New Roman" w:hAnsi="Times New Roman" w:cs="Times New Roman"/>
                <w:noProof/>
                <w:sz w:val="24"/>
                <w:szCs w:val="24"/>
                <w:lang w:val="bg-BG"/>
              </w:rPr>
              <w:t>Регламент (ЕС)2021/2115 и са представени в Методология за изчисляване на компенсаторни плащания по интервенция Биологично растениевъдство</w:t>
            </w:r>
          </w:p>
        </w:tc>
      </w:tr>
    </w:tbl>
    <w:p w:rsidR="008646DE" w:rsidRDefault="008646DE" w:rsidP="000030C2">
      <w:pPr>
        <w:spacing w:before="20" w:after="20" w:line="240" w:lineRule="auto"/>
        <w:rPr>
          <w:rFonts w:ascii="Times New Roman" w:eastAsia="Times New Roman" w:hAnsi="Times New Roman" w:cs="Times New Roman"/>
          <w:noProof/>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Плащанията за изпълнение на задължения в областта на околната среда и климата част от Стратегическия план, основните изисквания са посочени в Регламент(ЕС)2021/2115. Подкрепа и подобряването на опазването на околната среда и действията за климата са основен приоритет в ОСП за постигането на целите на Съюза в областта на околната среда и климата.</w:t>
            </w:r>
          </w:p>
          <w:p w:rsidR="00AD1795" w:rsidRPr="000030C2" w:rsidRDefault="00AD1795" w:rsidP="000030C2">
            <w:pPr>
              <w:spacing w:before="40" w:after="40" w:line="240" w:lineRule="auto"/>
              <w:jc w:val="both"/>
              <w:rPr>
                <w:rFonts w:ascii="Times New Roman" w:eastAsia="Times New Roman" w:hAnsi="Times New Roman" w:cs="Times New Roman"/>
                <w:sz w:val="24"/>
                <w:szCs w:val="24"/>
                <w:lang w:val="bg-BG"/>
              </w:rPr>
            </w:pPr>
          </w:p>
          <w:p w:rsidR="008646DE" w:rsidRDefault="000030C2" w:rsidP="000030C2">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Методологията за изчисляване е в съответствие с Регламент(ЕС) 2021/2115 и се базира на предоставените фишове за разписаните интервенции от Стра</w:t>
            </w:r>
            <w:r w:rsidR="00AD1795">
              <w:rPr>
                <w:rFonts w:ascii="Times New Roman" w:eastAsia="Times New Roman" w:hAnsi="Times New Roman" w:cs="Times New Roman"/>
                <w:noProof/>
                <w:sz w:val="24"/>
                <w:szCs w:val="24"/>
                <w:lang w:val="bg-BG"/>
              </w:rPr>
              <w:t>тегическия план от страна на МЗХ</w:t>
            </w:r>
            <w:r w:rsidRPr="000030C2">
              <w:rPr>
                <w:rFonts w:ascii="Times New Roman" w:eastAsia="Times New Roman" w:hAnsi="Times New Roman" w:cs="Times New Roman"/>
                <w:noProof/>
                <w:sz w:val="24"/>
                <w:szCs w:val="24"/>
                <w:lang w:val="bg-BG"/>
              </w:rPr>
              <w:t xml:space="preserve">. </w:t>
            </w:r>
          </w:p>
          <w:p w:rsidR="00AD1795" w:rsidRDefault="00AD1795" w:rsidP="000030C2">
            <w:pPr>
              <w:spacing w:before="40" w:after="40" w:line="240" w:lineRule="auto"/>
              <w:jc w:val="both"/>
              <w:rPr>
                <w:rFonts w:ascii="Times New Roman" w:eastAsia="Times New Roman" w:hAnsi="Times New Roman" w:cs="Times New Roman"/>
                <w:noProof/>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Съгласно чл.70 от регламента за установяване на правила за подпомагане за стратегическите планове,плащанията се отпускат за покриване задължения, които: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А) надхвърлят съответните законоустановени изисквания зауправление и стандартите за ДЗЕС;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lastRenderedPageBreak/>
              <w:t>Б) надхвърлят съответните минимални изисквания за използване на торове и на продукти за растителна защита или за хуманно отношение към животните, както и съответните други задължителни изисквания, установени в националното право и в правото на Съюза;</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В) надхвърлят условията, установени за поддържането на земеделските площи в съответствие с член 4, параграф 2, буква а) от Регламент 2021/2115 за Стратегическият план</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Подпомагането по тази интервенция се предоставя под формата на годишни плащания на хектар. </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Ангажиментите по интервенцията са обособени в две операции:</w:t>
            </w:r>
          </w:p>
          <w:p w:rsidR="000030C2" w:rsidRPr="00AD1795" w:rsidRDefault="000030C2" w:rsidP="00AD1795">
            <w:pPr>
              <w:pStyle w:val="ListParagraph"/>
              <w:numPr>
                <w:ilvl w:val="0"/>
                <w:numId w:val="3"/>
              </w:numPr>
              <w:spacing w:before="40" w:after="40" w:line="240" w:lineRule="auto"/>
              <w:jc w:val="both"/>
              <w:rPr>
                <w:rFonts w:ascii="Times New Roman" w:eastAsia="Times New Roman" w:hAnsi="Times New Roman" w:cs="Times New Roman"/>
                <w:sz w:val="24"/>
                <w:szCs w:val="24"/>
                <w:lang w:val="bg-BG"/>
              </w:rPr>
            </w:pPr>
            <w:r w:rsidRPr="00AD1795">
              <w:rPr>
                <w:rFonts w:ascii="Times New Roman" w:eastAsia="Times New Roman" w:hAnsi="Times New Roman" w:cs="Times New Roman"/>
                <w:noProof/>
                <w:sz w:val="24"/>
                <w:szCs w:val="24"/>
                <w:lang w:val="bg-BG"/>
              </w:rPr>
              <w:t>·Плащания за преминаване към биологично растениевъдство</w:t>
            </w:r>
          </w:p>
          <w:p w:rsidR="000030C2" w:rsidRPr="00AD1795" w:rsidRDefault="000030C2" w:rsidP="00AD1795">
            <w:pPr>
              <w:pStyle w:val="ListParagraph"/>
              <w:numPr>
                <w:ilvl w:val="0"/>
                <w:numId w:val="3"/>
              </w:numPr>
              <w:spacing w:before="40" w:after="40" w:line="240" w:lineRule="auto"/>
              <w:jc w:val="both"/>
              <w:rPr>
                <w:rFonts w:ascii="Times New Roman" w:eastAsia="Times New Roman" w:hAnsi="Times New Roman" w:cs="Times New Roman"/>
                <w:sz w:val="24"/>
                <w:szCs w:val="24"/>
                <w:lang w:val="bg-BG"/>
              </w:rPr>
            </w:pPr>
            <w:r w:rsidRPr="00AD1795">
              <w:rPr>
                <w:rFonts w:ascii="Times New Roman" w:eastAsia="Times New Roman" w:hAnsi="Times New Roman" w:cs="Times New Roman"/>
                <w:noProof/>
                <w:sz w:val="24"/>
                <w:szCs w:val="24"/>
                <w:lang w:val="bg-BG"/>
              </w:rPr>
              <w:t>·Плащания за поддържане на биологично растениевъдство</w:t>
            </w: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Подпомагането се основа на групиране на земеделски култури, като, с цел недопускане на свръх-компенсиране към основните типове, могат да се включат допълнителни земеделски култури с изчислен идентичен размер на подпомагане.</w:t>
            </w:r>
          </w:p>
        </w:tc>
      </w:tr>
    </w:tbl>
    <w:p w:rsidR="008646DE" w:rsidRDefault="008646DE" w:rsidP="000030C2">
      <w:pPr>
        <w:spacing w:before="20" w:after="20" w:line="240" w:lineRule="auto"/>
        <w:outlineLvl w:val="4"/>
        <w:rPr>
          <w:rFonts w:ascii="Times New Roman" w:eastAsia="Times New Roman" w:hAnsi="Times New Roman" w:cs="Times New Roman"/>
          <w:bCs/>
          <w:iCs/>
          <w:noProof/>
          <w:color w:val="000000"/>
          <w:sz w:val="24"/>
          <w:szCs w:val="26"/>
          <w:lang w:val="bg-BG"/>
        </w:rPr>
      </w:pPr>
      <w:bookmarkStart w:id="10" w:name="_Toc256000011"/>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8 Информация относно оценката за държавна помощ</w:t>
      </w:r>
      <w:bookmarkEnd w:id="10"/>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Интервенцията попада извън приложното поле на член 42 от ДФЕС и подлежи на оценка за държавна помощ:</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Да      </w:t>
      </w: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Не      </w:t>
      </w: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Смесено участие      </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1" w:name="_Toc256000012"/>
      <w:r w:rsidRPr="000030C2">
        <w:rPr>
          <w:rFonts w:ascii="Times New Roman" w:eastAsia="Times New Roman" w:hAnsi="Times New Roman" w:cs="Times New Roman"/>
          <w:bCs/>
          <w:iCs/>
          <w:noProof/>
          <w:color w:val="000000"/>
          <w:sz w:val="24"/>
          <w:szCs w:val="26"/>
          <w:lang w:val="bg-BG"/>
        </w:rPr>
        <w:t>9 Допълнителни въпроси/информация за вида на интервенцията</w:t>
      </w:r>
      <w:bookmarkEnd w:id="11"/>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Какви са моделите на ангажимента(ите) в интервенцията?</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на база резултати (с възможност за избор)</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на база управление (с възможност за избор)</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Wingdings" w:eastAsia="Wingdings" w:hAnsi="Wingdings" w:cs="Wingdings"/>
          <w:noProof/>
          <w:color w:val="000000"/>
          <w:sz w:val="24"/>
          <w:szCs w:val="24"/>
          <w:lang w:val="bg-BG"/>
        </w:rPr>
        <w:t></w:t>
      </w:r>
      <w:r w:rsidRPr="000030C2">
        <w:rPr>
          <w:rFonts w:ascii="Times New Roman" w:eastAsia="Times New Roman" w:hAnsi="Times New Roman" w:cs="Times New Roman"/>
          <w:noProof/>
          <w:color w:val="000000"/>
          <w:sz w:val="24"/>
          <w:szCs w:val="24"/>
          <w:lang w:val="bg-BG"/>
        </w:rPr>
        <w:t xml:space="preserve"> хибридни (основани на управление и резултати)</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2021/2115.</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първа алинея на буква г) на параграф 3 от чл. 70 от Регламент 2021/2115 се предоставя възможност за преразглеждане, за да се гарантира адаптиране на ангажиментите. Когато тези изменения не бъдат приети от бенефициента, ангажиментът отпада и не се изисква възстановяване на средства по отношение на периода, през който е изпълняван ангажиментът.</w:t>
            </w:r>
          </w:p>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Площта за извършване на дейности по всяка една от двете операции може да бъде намалена с не повече от 10 %, като всяка година поне 90 % от площта се припокрива географски с площта, за която има поет ангажимент.</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Когато площта по дадена операция,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 xml:space="preserve">Поетият ангажимент по операция „Плащания за поддържане на биологично растениевъдство“ от земеделския стопанин може да бъде увеличен с нови площи в периода на изпълнение на ангажимента до третата година, като същият може да бъде разширяван със заявените нови площи, които отговарят на изискванията за одобрение при налични финансови средства за оставащия </w:t>
            </w:r>
            <w:r w:rsidRPr="000030C2">
              <w:rPr>
                <w:rFonts w:ascii="Times New Roman" w:eastAsia="Times New Roman" w:hAnsi="Times New Roman" w:cs="Times New Roman"/>
                <w:noProof/>
                <w:sz w:val="24"/>
                <w:szCs w:val="24"/>
                <w:lang w:val="bg-BG"/>
              </w:rPr>
              <w:lastRenderedPageBreak/>
              <w:t>период от ангажимента. След третата година ангажиментът може да бъде разширен с нови площи, но не повече от 30 %. Държавен фонд „Земеделие“ уведомява земеделския стопанин за новия размер на площите в одобрен ангажимент.</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Default="000030C2" w:rsidP="008646DE">
            <w:pPr>
              <w:spacing w:before="40" w:after="40" w:line="240" w:lineRule="auto"/>
              <w:jc w:val="both"/>
              <w:rPr>
                <w:rFonts w:ascii="Times New Roman" w:eastAsia="Times New Roman" w:hAnsi="Times New Roman" w:cs="Times New Roman"/>
                <w:noProof/>
                <w:sz w:val="24"/>
                <w:szCs w:val="24"/>
                <w:lang w:val="bg-BG"/>
              </w:rPr>
            </w:pPr>
            <w:r w:rsidRPr="000030C2">
              <w:rPr>
                <w:rFonts w:ascii="Times New Roman" w:eastAsia="Times New Roman" w:hAnsi="Times New Roman" w:cs="Times New Roman"/>
                <w:noProof/>
                <w:sz w:val="24"/>
                <w:szCs w:val="24"/>
                <w:lang w:val="bg-BG"/>
              </w:rPr>
              <w:t>Земеделският стопанин може да поеме отделни ангажименти по двете операции съгласно изискванията на чл. 70 от Регламент 2021/2115.</w:t>
            </w:r>
          </w:p>
          <w:p w:rsidR="00AD1795" w:rsidRPr="000030C2" w:rsidRDefault="00AD1795" w:rsidP="008646DE">
            <w:pPr>
              <w:spacing w:before="40" w:after="40" w:line="240" w:lineRule="auto"/>
              <w:jc w:val="both"/>
              <w:rPr>
                <w:rFonts w:ascii="Times New Roman" w:eastAsia="Times New Roman" w:hAnsi="Times New Roman" w:cs="Times New Roman"/>
                <w:sz w:val="24"/>
                <w:szCs w:val="24"/>
                <w:lang w:val="bg-BG"/>
              </w:rPr>
            </w:pPr>
          </w:p>
          <w:p w:rsidR="000030C2" w:rsidRPr="00C91551" w:rsidRDefault="000030C2" w:rsidP="008646DE">
            <w:pPr>
              <w:spacing w:before="40" w:after="40" w:line="240" w:lineRule="auto"/>
              <w:jc w:val="both"/>
              <w:rPr>
                <w:rFonts w:ascii="Times New Roman" w:eastAsia="Times New Roman" w:hAnsi="Times New Roman" w:cs="Times New Roman"/>
                <w:noProof/>
                <w:color w:val="FF0000"/>
                <w:sz w:val="24"/>
                <w:szCs w:val="24"/>
                <w:lang w:val="bg-BG"/>
              </w:rPr>
            </w:pPr>
            <w:r w:rsidRPr="000030C2">
              <w:rPr>
                <w:rFonts w:ascii="Times New Roman" w:eastAsia="Times New Roman" w:hAnsi="Times New Roman" w:cs="Times New Roman"/>
                <w:noProof/>
                <w:sz w:val="24"/>
                <w:szCs w:val="24"/>
                <w:lang w:val="bg-BG"/>
              </w:rPr>
              <w:t>По операция „Плащания за преминаване към биологично растениевъдство“ - ангажиментът за операцията е пет годишен в случаите, в които площите в стопанството са встъпили в период на преминаване към биологично растениевъдство.</w:t>
            </w:r>
            <w:r w:rsidR="00C51618">
              <w:rPr>
                <w:rFonts w:ascii="Times New Roman" w:eastAsia="Times New Roman" w:hAnsi="Times New Roman" w:cs="Times New Roman"/>
                <w:noProof/>
                <w:sz w:val="24"/>
                <w:szCs w:val="24"/>
                <w:lang w:val="bg-BG"/>
              </w:rPr>
              <w:t xml:space="preserve"> </w:t>
            </w:r>
            <w:r w:rsidR="00246013">
              <w:rPr>
                <w:rFonts w:ascii="Times New Roman" w:eastAsia="Times New Roman" w:hAnsi="Times New Roman" w:cs="Times New Roman"/>
                <w:noProof/>
                <w:color w:val="FF0000"/>
                <w:sz w:val="24"/>
                <w:szCs w:val="24"/>
                <w:lang w:val="bg-BG"/>
              </w:rPr>
              <w:t>От</w:t>
            </w:r>
            <w:r w:rsidR="00C51618" w:rsidRPr="00C91551">
              <w:rPr>
                <w:rFonts w:ascii="Times New Roman" w:eastAsia="Times New Roman" w:hAnsi="Times New Roman" w:cs="Times New Roman"/>
                <w:noProof/>
                <w:color w:val="FF0000"/>
                <w:sz w:val="24"/>
                <w:szCs w:val="24"/>
                <w:lang w:val="bg-BG"/>
              </w:rPr>
              <w:t xml:space="preserve"> 202</w:t>
            </w:r>
            <w:r w:rsidR="00246013">
              <w:rPr>
                <w:rFonts w:ascii="Times New Roman" w:eastAsia="Times New Roman" w:hAnsi="Times New Roman" w:cs="Times New Roman"/>
                <w:noProof/>
                <w:color w:val="FF0000"/>
                <w:sz w:val="24"/>
                <w:szCs w:val="24"/>
                <w:lang w:val="bg-BG"/>
              </w:rPr>
              <w:t>6</w:t>
            </w:r>
            <w:r w:rsidR="00C51618" w:rsidRPr="00C91551">
              <w:rPr>
                <w:rFonts w:ascii="Times New Roman" w:eastAsia="Times New Roman" w:hAnsi="Times New Roman" w:cs="Times New Roman"/>
                <w:noProof/>
                <w:color w:val="FF0000"/>
                <w:sz w:val="24"/>
                <w:szCs w:val="24"/>
                <w:lang w:val="bg-BG"/>
              </w:rPr>
              <w:t xml:space="preserve"> г. по операцията мога да се поемат нови ангажименти с продължителност 3 години. </w:t>
            </w:r>
          </w:p>
          <w:p w:rsidR="00AD1795" w:rsidRPr="00C52A72" w:rsidRDefault="000030C2" w:rsidP="00246013">
            <w:pPr>
              <w:spacing w:before="40" w:after="40" w:line="240" w:lineRule="auto"/>
              <w:jc w:val="both"/>
              <w:rPr>
                <w:rFonts w:ascii="Times New Roman" w:eastAsia="Times New Roman" w:hAnsi="Times New Roman" w:cs="Times New Roman"/>
                <w:noProof/>
                <w:color w:val="FF0000"/>
                <w:sz w:val="24"/>
                <w:szCs w:val="24"/>
                <w:lang w:val="bg-BG"/>
              </w:rPr>
            </w:pPr>
            <w:r w:rsidRPr="000030C2">
              <w:rPr>
                <w:rFonts w:ascii="Times New Roman" w:eastAsia="Times New Roman" w:hAnsi="Times New Roman" w:cs="Times New Roman"/>
                <w:noProof/>
                <w:sz w:val="24"/>
                <w:szCs w:val="24"/>
                <w:lang w:val="bg-BG"/>
              </w:rPr>
              <w:t>По операция „Плащания за поддържане на биологично растениевъдство“ ангажиментът е пет годишен, като канидидатите се задължават да прилагат методите на биологичното производство.</w:t>
            </w:r>
            <w:r w:rsidR="00C51618">
              <w:rPr>
                <w:rFonts w:ascii="Times New Roman" w:eastAsia="Times New Roman" w:hAnsi="Times New Roman" w:cs="Times New Roman"/>
                <w:noProof/>
                <w:sz w:val="24"/>
                <w:szCs w:val="24"/>
                <w:lang w:val="bg-BG"/>
              </w:rPr>
              <w:t xml:space="preserve"> </w:t>
            </w:r>
            <w:r w:rsidR="00246013">
              <w:rPr>
                <w:rFonts w:ascii="Times New Roman" w:eastAsia="Times New Roman" w:hAnsi="Times New Roman" w:cs="Times New Roman"/>
                <w:noProof/>
                <w:color w:val="FF0000"/>
                <w:sz w:val="24"/>
                <w:szCs w:val="24"/>
                <w:lang w:val="bg-BG"/>
              </w:rPr>
              <w:t>От 2026</w:t>
            </w:r>
            <w:r w:rsidR="00C51618" w:rsidRPr="00C91551">
              <w:rPr>
                <w:rFonts w:ascii="Times New Roman" w:eastAsia="Times New Roman" w:hAnsi="Times New Roman" w:cs="Times New Roman"/>
                <w:noProof/>
                <w:color w:val="FF0000"/>
                <w:sz w:val="24"/>
                <w:szCs w:val="24"/>
                <w:lang w:val="bg-BG"/>
              </w:rPr>
              <w:t xml:space="preserve"> г. по операцията могат да се поемат нови ангажименти с продължителност </w:t>
            </w:r>
            <w:r w:rsidR="00215135">
              <w:rPr>
                <w:rFonts w:ascii="Times New Roman" w:eastAsia="Times New Roman" w:hAnsi="Times New Roman" w:cs="Times New Roman"/>
                <w:noProof/>
                <w:color w:val="FF0000"/>
                <w:sz w:val="24"/>
                <w:szCs w:val="24"/>
                <w:highlight w:val="yellow"/>
                <w:lang w:val="bg-BG"/>
              </w:rPr>
              <w:t xml:space="preserve"> </w:t>
            </w:r>
            <w:r w:rsidR="00C51618" w:rsidRPr="000B604C">
              <w:rPr>
                <w:rFonts w:ascii="Times New Roman" w:eastAsia="Times New Roman" w:hAnsi="Times New Roman" w:cs="Times New Roman"/>
                <w:noProof/>
                <w:color w:val="FF0000"/>
                <w:sz w:val="24"/>
                <w:szCs w:val="24"/>
                <w:highlight w:val="yellow"/>
                <w:lang w:val="bg-BG"/>
              </w:rPr>
              <w:t>3 години</w:t>
            </w:r>
            <w:r w:rsidR="00C51618" w:rsidRPr="00C91551">
              <w:rPr>
                <w:rFonts w:ascii="Times New Roman" w:eastAsia="Times New Roman" w:hAnsi="Times New Roman" w:cs="Times New Roman"/>
                <w:noProof/>
                <w:color w:val="FF0000"/>
                <w:sz w:val="24"/>
                <w:szCs w:val="24"/>
                <w:lang w:val="bg-BG"/>
              </w:rPr>
              <w:t xml:space="preserve">. </w:t>
            </w:r>
          </w:p>
        </w:tc>
      </w:tr>
    </w:tbl>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2" w:name="_Toc256000013"/>
      <w:r w:rsidRPr="000030C2">
        <w:rPr>
          <w:rFonts w:ascii="Times New Roman" w:eastAsia="Times New Roman" w:hAnsi="Times New Roman" w:cs="Times New Roman"/>
          <w:bCs/>
          <w:iCs/>
          <w:noProof/>
          <w:color w:val="000000"/>
          <w:sz w:val="24"/>
          <w:szCs w:val="26"/>
          <w:lang w:val="bg-BG"/>
        </w:rPr>
        <w:t>10 Съответствие с правилата на СТО</w:t>
      </w:r>
      <w:bookmarkEnd w:id="12"/>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 xml:space="preserve"> Зелена кутия</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Параграф 12 от приложение 2 към Споразумението за СТО</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030C2" w:rsidRPr="000030C2" w:rsidRDefault="000030C2" w:rsidP="008646DE">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допълнителни разходи и пропуснати приходи в изпълнение на ангажимента.</w:t>
            </w:r>
          </w:p>
        </w:tc>
      </w:tr>
    </w:tbl>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3" w:name="_Toc256000014"/>
      <w:r w:rsidRPr="000030C2">
        <w:rPr>
          <w:rFonts w:ascii="Times New Roman" w:eastAsia="Times New Roman" w:hAnsi="Times New Roman" w:cs="Times New Roman"/>
          <w:bCs/>
          <w:iCs/>
          <w:noProof/>
          <w:color w:val="000000"/>
          <w:sz w:val="24"/>
          <w:szCs w:val="26"/>
          <w:lang w:val="bg-BG"/>
        </w:rPr>
        <w:t>11 Процентно участие, приложимо за тази интервенция</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0030C2" w:rsidRPr="000030C2" w:rsidTr="008C688B">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Максимална ставка</w:t>
            </w:r>
          </w:p>
        </w:tc>
      </w:tr>
      <w:tr w:rsidR="000030C2" w:rsidRPr="000030C2" w:rsidTr="008C688B">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85,00%</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sectPr w:rsidR="000030C2" w:rsidRPr="000030C2">
          <w:footerReference w:type="default" r:id="rId8"/>
          <w:pgSz w:w="11906" w:h="16838"/>
          <w:pgMar w:top="720" w:right="720" w:bottom="864" w:left="936" w:header="288" w:footer="72" w:gutter="0"/>
          <w:cols w:space="720"/>
          <w:noEndnote/>
          <w:docGrid w:linePitch="360"/>
        </w:sect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bookmarkStart w:id="14" w:name="_Toc256000015"/>
      <w:r w:rsidRPr="000030C2">
        <w:rPr>
          <w:rFonts w:ascii="Times New Roman" w:eastAsia="Times New Roman" w:hAnsi="Times New Roman" w:cs="Times New Roman"/>
          <w:bCs/>
          <w:iCs/>
          <w:noProof/>
          <w:color w:val="000000"/>
          <w:sz w:val="24"/>
          <w:szCs w:val="26"/>
          <w:lang w:val="bg-BG"/>
        </w:rPr>
        <w:lastRenderedPageBreak/>
        <w:t>12 Планирани единични суми — определение</w:t>
      </w:r>
      <w:bookmarkEnd w:id="14"/>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209"/>
        <w:gridCol w:w="1491"/>
        <w:gridCol w:w="1330"/>
        <w:gridCol w:w="1955"/>
        <w:gridCol w:w="921"/>
        <w:gridCol w:w="1820"/>
        <w:gridCol w:w="2555"/>
      </w:tblGrid>
      <w:tr w:rsidR="000030C2" w:rsidRPr="000030C2" w:rsidTr="008C688B">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Група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b/>
                <w:color w:val="000000"/>
                <w:sz w:val="20"/>
                <w:szCs w:val="24"/>
                <w:lang w:val="bg-BG"/>
              </w:rPr>
            </w:pPr>
            <w:r w:rsidRPr="000030C2">
              <w:rPr>
                <w:rFonts w:ascii="Times New Roman" w:eastAsia="Times New Roman" w:hAnsi="Times New Roman" w:cs="Times New Roman"/>
                <w:b/>
                <w:noProof/>
                <w:color w:val="000000"/>
                <w:sz w:val="20"/>
                <w:szCs w:val="24"/>
                <w:lang w:val="bg-BG"/>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b/>
                <w:noProof/>
                <w:color w:val="000000"/>
                <w:sz w:val="20"/>
                <w:szCs w:val="24"/>
                <w:lang w:val="bg-BG"/>
              </w:rPr>
              <w:t>Единичната сума основава ли се на пренесени разходи?</w:t>
            </w:r>
          </w:p>
        </w:tc>
      </w:tr>
      <w:tr w:rsidR="000030C2" w:rsidRPr="000030C2" w:rsidTr="008C688B">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Био-преход - Плащания за преминаване към биологично растениевъдство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R.14; R.19; R.21; R.24; R.29; R.31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Не</w:t>
            </w:r>
          </w:p>
        </w:tc>
      </w:tr>
      <w:tr w:rsidR="000030C2" w:rsidRPr="000030C2" w:rsidTr="008C688B">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хектари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Био-растениевъдство - Плащания за биологично растениевъдство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R.14; R.19; R.21; R.24; R.29; R.31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Не</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Обяснение и обосновка, свързани с размера на единичната сума</w:t>
      </w:r>
    </w:p>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Био-преход - Плащания за преминаване към биологично растениевъдство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Изчисляването на компенсациите по отделните операции е направено чрез осредняване при отчитането на размера на пропуснатите ползи и повишени разходи, при прилагане на методите на биологично земеделие Предвид това, няма как да бъде приложена единна форма на плащане. Средната сума се определя според изчислението на компенсаторни плащания за отделните групи култури. Очакваните площи са определени на базата на очаквания ръст на площите под контрол спрямо използваемата земеделска площ.</w:t>
            </w:r>
          </w:p>
        </w:tc>
      </w:tr>
    </w:tbl>
    <w:p w:rsidR="000030C2" w:rsidRPr="000030C2" w:rsidRDefault="000030C2" w:rsidP="000030C2">
      <w:pPr>
        <w:spacing w:before="20" w:after="20" w:line="240" w:lineRule="auto"/>
        <w:rPr>
          <w:rFonts w:ascii="Times New Roman" w:eastAsia="Times New Roman" w:hAnsi="Times New Roman" w:cs="Times New Roman"/>
          <w:color w:val="000000"/>
          <w:sz w:val="24"/>
          <w:szCs w:val="24"/>
          <w:lang w:val="bg-BG"/>
        </w:rPr>
      </w:pPr>
      <w:r w:rsidRPr="000030C2">
        <w:rPr>
          <w:rFonts w:ascii="Times New Roman" w:eastAsia="Times New Roman" w:hAnsi="Times New Roman" w:cs="Times New Roman"/>
          <w:noProof/>
          <w:color w:val="000000"/>
          <w:sz w:val="24"/>
          <w:szCs w:val="24"/>
          <w:lang w:val="bg-BG"/>
        </w:rPr>
        <w:t>Био-растениевъдство - Плащания за биологично растениевъдство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0030C2" w:rsidRPr="000030C2" w:rsidTr="008C688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0030C2" w:rsidRPr="000030C2" w:rsidRDefault="000030C2" w:rsidP="000030C2">
            <w:pPr>
              <w:spacing w:before="40" w:after="40" w:line="240" w:lineRule="auto"/>
              <w:jc w:val="both"/>
              <w:rPr>
                <w:rFonts w:ascii="Times New Roman" w:eastAsia="Times New Roman" w:hAnsi="Times New Roman" w:cs="Times New Roman"/>
                <w:sz w:val="24"/>
                <w:szCs w:val="24"/>
                <w:lang w:val="bg-BG"/>
              </w:rPr>
            </w:pPr>
            <w:r w:rsidRPr="000030C2">
              <w:rPr>
                <w:rFonts w:ascii="Times New Roman" w:eastAsia="Times New Roman" w:hAnsi="Times New Roman" w:cs="Times New Roman"/>
                <w:noProof/>
                <w:sz w:val="24"/>
                <w:szCs w:val="24"/>
                <w:lang w:val="bg-BG"/>
              </w:rPr>
              <w:t>Изчисляването на компенсациите по отделните операции е направено чрез осредняване при отчитането на размера на пропуснатите ползи и повишени разходи, при прилагане на методите на биологично земеделие Предвид това, няма как да бъде приложена единна форма на плащане. Средната сума се определя според изчислението на компенсаторни плащания за отделните групи култури. Очакваните площи са определени на базата на очаквания ръст на площите под контрол спрямо използваемата земеделска площ.</w:t>
            </w:r>
          </w:p>
        </w:tc>
      </w:tr>
    </w:tbl>
    <w:p w:rsidR="000030C2" w:rsidRPr="003C1D9D" w:rsidRDefault="000030C2" w:rsidP="000030C2">
      <w:pPr>
        <w:spacing w:before="20" w:after="20" w:line="240" w:lineRule="auto"/>
        <w:outlineLvl w:val="4"/>
        <w:rPr>
          <w:rFonts w:ascii="Times New Roman" w:eastAsia="Times New Roman" w:hAnsi="Times New Roman" w:cs="Times New Roman"/>
          <w:bCs/>
          <w:iCs/>
          <w:noProof/>
          <w:color w:val="000000"/>
          <w:sz w:val="24"/>
          <w:szCs w:val="26"/>
        </w:rPr>
      </w:pPr>
      <w:bookmarkStart w:id="15" w:name="_Toc256000016"/>
    </w:p>
    <w:p w:rsidR="000030C2" w:rsidRDefault="000030C2">
      <w:pPr>
        <w:rPr>
          <w:rFonts w:ascii="Times New Roman" w:eastAsia="Times New Roman" w:hAnsi="Times New Roman" w:cs="Times New Roman"/>
          <w:bCs/>
          <w:iCs/>
          <w:noProof/>
          <w:color w:val="000000"/>
          <w:sz w:val="24"/>
          <w:szCs w:val="26"/>
          <w:lang w:val="bg-BG"/>
        </w:rPr>
      </w:pPr>
    </w:p>
    <w:p w:rsidR="008646DE" w:rsidRDefault="008646DE">
      <w:pPr>
        <w:rPr>
          <w:rFonts w:ascii="Times New Roman" w:eastAsia="Times New Roman" w:hAnsi="Times New Roman" w:cs="Times New Roman"/>
          <w:bCs/>
          <w:iCs/>
          <w:noProof/>
          <w:color w:val="000000"/>
          <w:sz w:val="24"/>
          <w:szCs w:val="26"/>
          <w:lang w:val="bg-BG"/>
        </w:rPr>
      </w:pPr>
    </w:p>
    <w:p w:rsidR="008646DE" w:rsidRDefault="008646DE">
      <w:pPr>
        <w:rPr>
          <w:rFonts w:ascii="Times New Roman" w:eastAsia="Times New Roman" w:hAnsi="Times New Roman" w:cs="Times New Roman"/>
          <w:bCs/>
          <w:iCs/>
          <w:noProof/>
          <w:color w:val="000000"/>
          <w:sz w:val="24"/>
          <w:szCs w:val="26"/>
          <w:lang w:val="bg-BG"/>
        </w:rPr>
      </w:pPr>
    </w:p>
    <w:p w:rsidR="008646DE" w:rsidRDefault="008646DE">
      <w:pPr>
        <w:rPr>
          <w:rFonts w:ascii="Times New Roman" w:eastAsia="Times New Roman" w:hAnsi="Times New Roman" w:cs="Times New Roman"/>
          <w:bCs/>
          <w:iCs/>
          <w:noProof/>
          <w:color w:val="000000"/>
          <w:sz w:val="24"/>
          <w:szCs w:val="26"/>
          <w:lang w:val="bg-BG"/>
        </w:rPr>
      </w:pPr>
    </w:p>
    <w:p w:rsidR="008646DE" w:rsidRPr="00144255" w:rsidRDefault="008646DE">
      <w:pPr>
        <w:rPr>
          <w:rFonts w:ascii="Times New Roman" w:eastAsia="Times New Roman" w:hAnsi="Times New Roman" w:cs="Times New Roman"/>
          <w:bCs/>
          <w:iCs/>
          <w:noProof/>
          <w:color w:val="000000"/>
          <w:sz w:val="24"/>
          <w:szCs w:val="26"/>
          <w:lang w:val="bg-BG"/>
        </w:rPr>
      </w:pPr>
    </w:p>
    <w:p w:rsidR="000030C2" w:rsidRPr="000030C2" w:rsidRDefault="000030C2" w:rsidP="000030C2">
      <w:pPr>
        <w:spacing w:before="20" w:after="20" w:line="240" w:lineRule="auto"/>
        <w:outlineLvl w:val="4"/>
        <w:rPr>
          <w:rFonts w:ascii="Times New Roman" w:eastAsia="Times New Roman" w:hAnsi="Times New Roman" w:cs="Times New Roman"/>
          <w:bCs/>
          <w:iCs/>
          <w:color w:val="000000"/>
          <w:sz w:val="24"/>
          <w:szCs w:val="26"/>
          <w:lang w:val="bg-BG"/>
        </w:rPr>
      </w:pPr>
      <w:r w:rsidRPr="000030C2">
        <w:rPr>
          <w:rFonts w:ascii="Times New Roman" w:eastAsia="Times New Roman" w:hAnsi="Times New Roman" w:cs="Times New Roman"/>
          <w:bCs/>
          <w:iCs/>
          <w:noProof/>
          <w:color w:val="000000"/>
          <w:sz w:val="24"/>
          <w:szCs w:val="26"/>
          <w:lang w:val="bg-BG"/>
        </w:rPr>
        <w:t>13 Планирани единични суми — финансова таблица с крайни продукти</w:t>
      </w:r>
      <w:bookmarkEnd w:id="15"/>
    </w:p>
    <w:p w:rsidR="000030C2" w:rsidRPr="000030C2" w:rsidRDefault="000030C2" w:rsidP="000030C2">
      <w:pPr>
        <w:spacing w:before="20" w:after="20" w:line="240" w:lineRule="auto"/>
        <w:rPr>
          <w:rFonts w:ascii="Times New Roman" w:eastAsia="Times New Roman" w:hAnsi="Times New Roman" w:cs="Times New Roman"/>
          <w:color w:val="000000"/>
          <w:sz w:val="0"/>
          <w:szCs w:val="24"/>
          <w:lang w:val="bg-BG"/>
        </w:rPr>
      </w:pPr>
    </w:p>
    <w:tbl>
      <w:tblPr>
        <w:tblW w:w="53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605"/>
        <w:gridCol w:w="1721"/>
        <w:gridCol w:w="601"/>
        <w:gridCol w:w="1275"/>
        <w:gridCol w:w="1275"/>
        <w:gridCol w:w="1277"/>
        <w:gridCol w:w="1275"/>
        <w:gridCol w:w="1276"/>
        <w:gridCol w:w="1045"/>
        <w:gridCol w:w="1365"/>
      </w:tblGrid>
      <w:tr w:rsidR="000030C2" w:rsidRPr="000030C2" w:rsidTr="0070537D">
        <w:trPr>
          <w:trHeight w:val="160"/>
          <w:tblHeader/>
        </w:trPr>
        <w:tc>
          <w:tcPr>
            <w:tcW w:w="13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lastRenderedPageBreak/>
              <w:t>Група</w:t>
            </w:r>
          </w:p>
        </w:tc>
        <w:tc>
          <w:tcPr>
            <w:tcW w:w="260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Планирана единична сума</w:t>
            </w:r>
          </w:p>
        </w:tc>
        <w:tc>
          <w:tcPr>
            <w:tcW w:w="17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Финансова година</w:t>
            </w:r>
          </w:p>
        </w:tc>
        <w:tc>
          <w:tcPr>
            <w:tcW w:w="60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2023</w:t>
            </w:r>
          </w:p>
        </w:tc>
        <w:tc>
          <w:tcPr>
            <w:tcW w:w="12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2024</w:t>
            </w:r>
          </w:p>
        </w:tc>
        <w:tc>
          <w:tcPr>
            <w:tcW w:w="12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2025</w:t>
            </w:r>
          </w:p>
        </w:tc>
        <w:tc>
          <w:tcPr>
            <w:tcW w:w="127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2026</w:t>
            </w:r>
          </w:p>
        </w:tc>
        <w:tc>
          <w:tcPr>
            <w:tcW w:w="127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2027</w:t>
            </w:r>
          </w:p>
        </w:tc>
        <w:tc>
          <w:tcPr>
            <w:tcW w:w="127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2028</w:t>
            </w:r>
          </w:p>
        </w:tc>
        <w:tc>
          <w:tcPr>
            <w:tcW w:w="104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2029</w:t>
            </w:r>
          </w:p>
        </w:tc>
        <w:tc>
          <w:tcPr>
            <w:tcW w:w="136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b/>
                <w:noProof/>
                <w:color w:val="000000"/>
                <w:sz w:val="20"/>
                <w:szCs w:val="20"/>
                <w:lang w:val="bg-BG"/>
              </w:rPr>
              <w:t>Общо за периода 2023—2029 г.</w:t>
            </w:r>
          </w:p>
        </w:tc>
      </w:tr>
      <w:tr w:rsidR="000030C2" w:rsidRPr="000030C2" w:rsidTr="0070537D">
        <w:trPr>
          <w:trHeight w:val="160"/>
          <w:tblHeader/>
        </w:trPr>
        <w:tc>
          <w:tcPr>
            <w:tcW w:w="13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26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Био-преход - Плащания за преминаване към биологично растениевъдство (Безвъзмездни средства - Среден)</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Планирана единична сума (общо публични разходи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693,00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694,00</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694,00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694,00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694,00</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r>
      <w:tr w:rsidR="000030C2"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Максимална планирана средна единична сума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r>
      <w:tr w:rsidR="003C1D9D"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color w:val="000000"/>
                <w:sz w:val="20"/>
                <w:szCs w:val="20"/>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rPr>
                <w:rFonts w:ascii="Times New Roman" w:eastAsia="Times New Roman" w:hAnsi="Times New Roman" w:cs="Times New Roman"/>
                <w:color w:val="000000"/>
                <w:sz w:val="20"/>
                <w:szCs w:val="20"/>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O.17 (единица: Хектари)</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10 829,00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16,880.00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28,499.00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45,685.01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55,065.00     </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C1D9D" w:rsidRPr="0070537D" w:rsidRDefault="003C1D9D" w:rsidP="003C1D9D">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0537D" w:rsidRPr="0070537D" w:rsidRDefault="003C1D9D" w:rsidP="0070537D">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Сума: </w:t>
            </w:r>
            <w:r w:rsidR="0070537D" w:rsidRPr="0070537D">
              <w:rPr>
                <w:rFonts w:ascii="Times New Roman" w:eastAsia="Times New Roman" w:hAnsi="Times New Roman" w:cs="Times New Roman"/>
                <w:noProof/>
                <w:color w:val="000000"/>
                <w:sz w:val="20"/>
                <w:szCs w:val="20"/>
              </w:rPr>
              <w:t xml:space="preserve">               156,958.0</w:t>
            </w:r>
            <w:r w:rsidR="0070537D" w:rsidRPr="0070537D">
              <w:rPr>
                <w:rFonts w:ascii="Times New Roman" w:eastAsia="Times New Roman" w:hAnsi="Times New Roman" w:cs="Times New Roman"/>
                <w:noProof/>
                <w:color w:val="000000"/>
                <w:sz w:val="20"/>
                <w:szCs w:val="20"/>
                <w:lang w:val="bg-BG"/>
              </w:rPr>
              <w:t>0</w:t>
            </w:r>
            <w:r w:rsidR="0070537D" w:rsidRPr="0070537D">
              <w:rPr>
                <w:rFonts w:ascii="Times New Roman" w:eastAsia="Times New Roman" w:hAnsi="Times New Roman" w:cs="Times New Roman"/>
                <w:noProof/>
                <w:color w:val="000000"/>
                <w:sz w:val="20"/>
                <w:szCs w:val="20"/>
              </w:rPr>
              <w:t xml:space="preserve">     </w:t>
            </w:r>
          </w:p>
          <w:p w:rsidR="003C1D9D" w:rsidRPr="0070537D" w:rsidRDefault="003C1D9D" w:rsidP="003C1D9D">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Макс.: </w:t>
            </w:r>
          </w:p>
          <w:p w:rsidR="003C1D9D" w:rsidRPr="0070537D" w:rsidRDefault="0070537D" w:rsidP="0070537D">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 xml:space="preserve">55,065.00     </w:t>
            </w:r>
          </w:p>
        </w:tc>
      </w:tr>
      <w:tr w:rsidR="000030C2" w:rsidRPr="000030C2" w:rsidTr="0070537D">
        <w:trPr>
          <w:trHeight w:val="160"/>
          <w:tblHeader/>
        </w:trPr>
        <w:tc>
          <w:tcPr>
            <w:tcW w:w="13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хектари</w:t>
            </w:r>
          </w:p>
        </w:tc>
        <w:tc>
          <w:tcPr>
            <w:tcW w:w="26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Био-растениевъдство - Плащания за биологично растениевъдство (Безвъзмездни средства - Среден)</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Планирана единична сума (общо публични разходи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557,00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612,00</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612,00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612,00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612,00</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r>
      <w:tr w:rsidR="000030C2"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Максимална планирана средна единична сума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70537D" w:rsidRDefault="000030C2" w:rsidP="000030C2">
            <w:pPr>
              <w:spacing w:before="20" w:after="20" w:line="240" w:lineRule="auto"/>
              <w:jc w:val="right"/>
              <w:rPr>
                <w:rFonts w:ascii="Times New Roman" w:eastAsia="Times New Roman" w:hAnsi="Times New Roman" w:cs="Times New Roman"/>
                <w:color w:val="000000"/>
                <w:sz w:val="20"/>
                <w:szCs w:val="20"/>
                <w:lang w:val="bg-BG"/>
              </w:rPr>
            </w:pPr>
          </w:p>
        </w:tc>
      </w:tr>
      <w:tr w:rsidR="007F3CDC"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260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O.17 (единица: Хектари)</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25 894,00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27,443.00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32,521.00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53,450.01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57,049.00     </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Mar>
              <w:top w:w="20" w:type="dxa"/>
              <w:left w:w="20" w:type="dxa"/>
              <w:bottom w:w="0" w:type="dxa"/>
              <w:right w:w="20" w:type="dxa"/>
            </w:tcMar>
          </w:tcPr>
          <w:p w:rsidR="0070537D" w:rsidRPr="0070537D" w:rsidRDefault="007F3CDC" w:rsidP="0070537D">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Сума: </w:t>
            </w:r>
            <w:r w:rsidR="0070537D" w:rsidRPr="0070537D">
              <w:rPr>
                <w:rFonts w:ascii="Times New Roman" w:eastAsia="Times New Roman" w:hAnsi="Times New Roman" w:cs="Times New Roman"/>
                <w:noProof/>
                <w:color w:val="000000"/>
                <w:sz w:val="20"/>
                <w:szCs w:val="20"/>
              </w:rPr>
              <w:t xml:space="preserve">             196,357.23     </w:t>
            </w:r>
          </w:p>
          <w:p w:rsidR="007F3CDC" w:rsidRPr="0070537D" w:rsidRDefault="007F3CDC" w:rsidP="007F3CDC">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Макс.: </w:t>
            </w:r>
          </w:p>
          <w:p w:rsidR="007F3CDC" w:rsidRPr="0070537D" w:rsidRDefault="0070537D" w:rsidP="0070537D">
            <w:pPr>
              <w:spacing w:before="20" w:after="20" w:line="240" w:lineRule="auto"/>
              <w:rPr>
                <w:rFonts w:ascii="Times New Roman" w:eastAsia="Times New Roman" w:hAnsi="Times New Roman" w:cs="Times New Roman"/>
                <w:color w:val="000000"/>
                <w:sz w:val="20"/>
                <w:szCs w:val="20"/>
                <w:highlight w:val="yellow"/>
                <w:lang w:val="bg-BG"/>
              </w:rPr>
            </w:pPr>
            <w:r w:rsidRPr="0070537D">
              <w:rPr>
                <w:rFonts w:ascii="Times New Roman" w:eastAsia="Times New Roman" w:hAnsi="Times New Roman" w:cs="Times New Roman"/>
                <w:noProof/>
                <w:color w:val="000000"/>
                <w:sz w:val="20"/>
                <w:szCs w:val="20"/>
                <w:lang w:val="bg-BG"/>
              </w:rPr>
              <w:t xml:space="preserve">57,049.00     </w:t>
            </w:r>
          </w:p>
        </w:tc>
      </w:tr>
      <w:tr w:rsidR="007F3CDC" w:rsidRPr="000030C2" w:rsidTr="0070537D">
        <w:trPr>
          <w:trHeight w:val="160"/>
          <w:tblHeader/>
        </w:trPr>
        <w:tc>
          <w:tcPr>
            <w:tcW w:w="130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p>
        </w:tc>
        <w:tc>
          <w:tcPr>
            <w:tcW w:w="260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ОБЩО</w:t>
            </w: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O.17 (единица: Хектари)</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0537D">
            <w:pPr>
              <w:spacing w:before="20" w:after="20" w:line="240" w:lineRule="auto"/>
              <w:ind w:hanging="324"/>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36,723.22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44,323.00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61,020.00     </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99,135.02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 xml:space="preserve"> 112,114.00     </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0537D" w:rsidRPr="0070537D" w:rsidRDefault="007F3CDC" w:rsidP="0070537D">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Сума: </w:t>
            </w:r>
            <w:r w:rsidR="0070537D" w:rsidRPr="0070537D">
              <w:rPr>
                <w:rFonts w:ascii="Times New Roman" w:eastAsia="Times New Roman" w:hAnsi="Times New Roman" w:cs="Times New Roman"/>
                <w:noProof/>
                <w:color w:val="000000"/>
                <w:sz w:val="20"/>
                <w:szCs w:val="20"/>
              </w:rPr>
              <w:t xml:space="preserve">            </w:t>
            </w:r>
            <w:r w:rsidR="0070537D" w:rsidRPr="0070537D">
              <w:rPr>
                <w:rFonts w:ascii="Times New Roman" w:eastAsia="Times New Roman" w:hAnsi="Times New Roman" w:cs="Times New Roman"/>
                <w:noProof/>
                <w:color w:val="000000"/>
                <w:sz w:val="20"/>
                <w:szCs w:val="20"/>
                <w:lang w:val="bg-BG"/>
              </w:rPr>
              <w:t>3</w:t>
            </w:r>
            <w:r w:rsidR="0070537D" w:rsidRPr="0070537D">
              <w:rPr>
                <w:rFonts w:ascii="Times New Roman" w:eastAsia="Times New Roman" w:hAnsi="Times New Roman" w:cs="Times New Roman"/>
                <w:noProof/>
                <w:color w:val="000000"/>
                <w:sz w:val="20"/>
                <w:szCs w:val="20"/>
              </w:rPr>
              <w:t xml:space="preserve">53,315.24     </w:t>
            </w:r>
          </w:p>
          <w:p w:rsidR="007F3CDC" w:rsidRPr="0070537D" w:rsidRDefault="007F3CDC" w:rsidP="007F3CDC">
            <w:pPr>
              <w:spacing w:before="20" w:after="20" w:line="240" w:lineRule="auto"/>
              <w:rPr>
                <w:rFonts w:ascii="Times New Roman" w:eastAsia="Times New Roman" w:hAnsi="Times New Roman" w:cs="Times New Roman"/>
                <w:b/>
                <w:color w:val="000000"/>
                <w:sz w:val="20"/>
                <w:szCs w:val="20"/>
                <w:lang w:val="bg-BG"/>
              </w:rPr>
            </w:pPr>
            <w:r w:rsidRPr="0070537D">
              <w:rPr>
                <w:rFonts w:ascii="Times New Roman" w:eastAsia="Times New Roman" w:hAnsi="Times New Roman" w:cs="Times New Roman"/>
                <w:b/>
                <w:noProof/>
                <w:color w:val="000000"/>
                <w:sz w:val="20"/>
                <w:szCs w:val="20"/>
                <w:lang w:val="bg-BG"/>
              </w:rPr>
              <w:t xml:space="preserve">Макс.: </w:t>
            </w:r>
          </w:p>
          <w:p w:rsidR="007F3CDC" w:rsidRPr="0070537D" w:rsidRDefault="0070537D" w:rsidP="0070537D">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 xml:space="preserve">112,114.00     </w:t>
            </w:r>
          </w:p>
        </w:tc>
      </w:tr>
      <w:tr w:rsidR="007F3CDC"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color w:val="000000"/>
                <w:sz w:val="20"/>
                <w:szCs w:val="20"/>
                <w:lang w:val="bg-BG"/>
              </w:rPr>
            </w:pPr>
            <w:r w:rsidRPr="0070537D">
              <w:rPr>
                <w:rFonts w:ascii="Times New Roman" w:eastAsia="Times New Roman" w:hAnsi="Times New Roman" w:cs="Times New Roman"/>
                <w:noProof/>
                <w:color w:val="000000"/>
                <w:sz w:val="20"/>
                <w:szCs w:val="20"/>
                <w:lang w:val="bg-BG"/>
              </w:rPr>
              <w:t>Годишно ориентировъчно разпределение на финансови средства (общо публични разходи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21,927,577.54</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34,404,483.00</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48,127,775.00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78,100,675.87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88,818,013.12</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noProof/>
                <w:color w:val="000000"/>
                <w:sz w:val="20"/>
                <w:szCs w:val="20"/>
              </w:rPr>
            </w:pPr>
            <w:r w:rsidRPr="0070537D">
              <w:rPr>
                <w:rFonts w:ascii="Times New Roman" w:eastAsia="Times New Roman" w:hAnsi="Times New Roman" w:cs="Times New Roman"/>
                <w:noProof/>
                <w:color w:val="000000"/>
                <w:sz w:val="20"/>
                <w:szCs w:val="20"/>
              </w:rPr>
              <w:t>271,378,524.53</w:t>
            </w:r>
          </w:p>
          <w:p w:rsidR="007F3CDC" w:rsidRPr="0070537D" w:rsidRDefault="007F3CDC" w:rsidP="007F3CDC">
            <w:pPr>
              <w:spacing w:before="20" w:after="20" w:line="240" w:lineRule="auto"/>
              <w:jc w:val="right"/>
              <w:rPr>
                <w:rFonts w:ascii="Times New Roman" w:eastAsia="Times New Roman" w:hAnsi="Times New Roman" w:cs="Times New Roman"/>
                <w:color w:val="000000"/>
                <w:sz w:val="20"/>
                <w:szCs w:val="20"/>
                <w:lang w:val="bg-BG"/>
              </w:rPr>
            </w:pPr>
          </w:p>
        </w:tc>
      </w:tr>
      <w:tr w:rsidR="007F3CDC"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0030C2" w:rsidRDefault="007F3CDC" w:rsidP="007F3CDC">
            <w:pPr>
              <w:spacing w:before="20" w:after="20" w:line="240" w:lineRule="auto"/>
              <w:rPr>
                <w:rFonts w:ascii="Times New Roman" w:eastAsia="Times New Roman" w:hAnsi="Times New Roman" w:cs="Times New Roman"/>
                <w:color w:val="000000"/>
                <w:sz w:val="20"/>
                <w:szCs w:val="24"/>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0030C2" w:rsidRDefault="007F3CDC" w:rsidP="007F3CDC">
            <w:pPr>
              <w:spacing w:before="20" w:after="20" w:line="240" w:lineRule="auto"/>
              <w:rPr>
                <w:rFonts w:ascii="Times New Roman" w:eastAsia="Times New Roman" w:hAnsi="Times New Roman" w:cs="Times New Roman"/>
                <w:color w:val="000000"/>
                <w:sz w:val="20"/>
                <w:szCs w:val="24"/>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0030C2" w:rsidRDefault="007F3CDC" w:rsidP="007F3CDC">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Годишно ориентировъчно разпределение на финансови средства (принос на Съюза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0030C2" w:rsidRDefault="007F3CDC" w:rsidP="007F3CDC">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8,771,031.02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13,761,793.20</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19,251,110.00</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31,240,270.35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35,527,205.25</w:t>
            </w: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F3CDC" w:rsidRPr="0070537D" w:rsidRDefault="007F3CDC" w:rsidP="007F3CDC">
            <w:pPr>
              <w:spacing w:before="20" w:after="20" w:line="240" w:lineRule="auto"/>
              <w:rPr>
                <w:rFonts w:ascii="Times New Roman" w:eastAsia="Times New Roman" w:hAnsi="Times New Roman" w:cs="Times New Roman"/>
                <w:noProof/>
                <w:color w:val="000000"/>
                <w:sz w:val="20"/>
                <w:szCs w:val="20"/>
                <w:lang w:val="bg-BG"/>
              </w:rPr>
            </w:pPr>
            <w:r w:rsidRPr="0070537D">
              <w:rPr>
                <w:rFonts w:ascii="Times New Roman" w:eastAsia="Times New Roman" w:hAnsi="Times New Roman" w:cs="Times New Roman"/>
                <w:noProof/>
                <w:color w:val="000000"/>
                <w:sz w:val="20"/>
                <w:szCs w:val="20"/>
                <w:lang w:val="bg-BG"/>
              </w:rPr>
              <w:t>108,551,409.81</w:t>
            </w:r>
          </w:p>
          <w:p w:rsidR="007F3CDC" w:rsidRPr="0070537D" w:rsidRDefault="007F3CDC" w:rsidP="007F3CDC">
            <w:pPr>
              <w:spacing w:before="20" w:after="20" w:line="240" w:lineRule="auto"/>
              <w:jc w:val="right"/>
              <w:rPr>
                <w:rFonts w:ascii="Times New Roman" w:eastAsia="Times New Roman" w:hAnsi="Times New Roman" w:cs="Times New Roman"/>
                <w:noProof/>
                <w:color w:val="000000"/>
                <w:sz w:val="20"/>
                <w:szCs w:val="20"/>
                <w:lang w:val="bg-BG"/>
              </w:rPr>
            </w:pPr>
          </w:p>
        </w:tc>
      </w:tr>
      <w:tr w:rsidR="000030C2"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От които необходими за постигането на минималния размер на разпределяните финансови средства, посочен в приложение XII (приложимо към член 95, параграф 1 съгласно членове 73 и 75) (общо публични разходи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r>
      <w:tr w:rsidR="000030C2" w:rsidRPr="000030C2" w:rsidTr="0070537D">
        <w:trPr>
          <w:trHeight w:val="160"/>
          <w:tblHeader/>
        </w:trPr>
        <w:tc>
          <w:tcPr>
            <w:tcW w:w="130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260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p>
        </w:tc>
        <w:tc>
          <w:tcPr>
            <w:tcW w:w="1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rPr>
                <w:rFonts w:ascii="Times New Roman" w:eastAsia="Times New Roman" w:hAnsi="Times New Roman" w:cs="Times New Roman"/>
                <w:color w:val="000000"/>
                <w:sz w:val="20"/>
                <w:szCs w:val="24"/>
                <w:lang w:val="bg-BG"/>
              </w:rPr>
            </w:pPr>
            <w:r w:rsidRPr="000030C2">
              <w:rPr>
                <w:rFonts w:ascii="Times New Roman" w:eastAsia="Times New Roman" w:hAnsi="Times New Roman" w:cs="Times New Roman"/>
                <w:noProof/>
                <w:color w:val="000000"/>
                <w:sz w:val="20"/>
                <w:szCs w:val="24"/>
                <w:lang w:val="bg-BG"/>
              </w:rPr>
              <w:t>От които необходими за постигането на минималния размер на разпределяните финансови средства, посочен в приложение XII (вноска на Съюза в евро)</w:t>
            </w:r>
          </w:p>
        </w:tc>
        <w:tc>
          <w:tcPr>
            <w:tcW w:w="60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04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0030C2" w:rsidRPr="000030C2" w:rsidRDefault="000030C2" w:rsidP="000030C2">
            <w:pPr>
              <w:spacing w:before="20" w:after="20" w:line="240" w:lineRule="auto"/>
              <w:jc w:val="right"/>
              <w:rPr>
                <w:rFonts w:ascii="Times New Roman" w:eastAsia="Times New Roman" w:hAnsi="Times New Roman" w:cs="Times New Roman"/>
                <w:color w:val="000000"/>
                <w:sz w:val="20"/>
                <w:szCs w:val="24"/>
                <w:lang w:val="bg-BG"/>
              </w:rPr>
            </w:pPr>
          </w:p>
        </w:tc>
      </w:tr>
    </w:tbl>
    <w:p w:rsidR="00020D3C" w:rsidRPr="00144255" w:rsidRDefault="00020D3C">
      <w:pPr>
        <w:rPr>
          <w:lang w:val="bg-BG"/>
        </w:rPr>
      </w:pPr>
    </w:p>
    <w:sectPr w:rsidR="00020D3C" w:rsidRPr="00144255" w:rsidSect="000030C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F1C" w:rsidRDefault="00993F1C" w:rsidP="000030C2">
      <w:pPr>
        <w:spacing w:after="0" w:line="240" w:lineRule="auto"/>
      </w:pPr>
      <w:r>
        <w:separator/>
      </w:r>
    </w:p>
  </w:endnote>
  <w:endnote w:type="continuationSeparator" w:id="0">
    <w:p w:rsidR="00993F1C" w:rsidRDefault="00993F1C" w:rsidP="0000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40" w:type="dxa"/>
      <w:tblLook w:val="04A0" w:firstRow="1" w:lastRow="0" w:firstColumn="1" w:lastColumn="0" w:noHBand="0" w:noVBand="1"/>
    </w:tblPr>
    <w:tblGrid>
      <w:gridCol w:w="3418"/>
      <w:gridCol w:w="3417"/>
      <w:gridCol w:w="3415"/>
    </w:tblGrid>
    <w:tr w:rsidR="00215135">
      <w:trPr>
        <w:trHeight w:val="240"/>
        <w:tblHeader/>
      </w:trPr>
      <w:tc>
        <w:tcPr>
          <w:tcW w:w="1667" w:type="pct"/>
          <w:shd w:val="clear" w:color="auto" w:fill="FFFFFF"/>
          <w:tcMar>
            <w:left w:w="100" w:type="dxa"/>
            <w:right w:w="100" w:type="dxa"/>
          </w:tcMar>
          <w:vAlign w:val="center"/>
        </w:tcPr>
        <w:p w:rsidR="00215135" w:rsidRDefault="00215135">
          <w:pPr>
            <w:rPr>
              <w:b/>
              <w:color w:val="000000"/>
            </w:rPr>
          </w:pPr>
          <w:r>
            <w:rPr>
              <w:rFonts w:ascii="Times New Roman" w:eastAsia="Times New Roman" w:hAnsi="Times New Roman" w:cs="Times New Roman"/>
              <w:b/>
              <w:noProof/>
              <w:color w:val="000000"/>
              <w:sz w:val="32"/>
            </w:rPr>
            <w:t>BG</w:t>
          </w:r>
        </w:p>
      </w:tc>
      <w:tc>
        <w:tcPr>
          <w:tcW w:w="1667" w:type="pct"/>
          <w:shd w:val="clear" w:color="auto" w:fill="FFFFFF"/>
          <w:tcMar>
            <w:left w:w="100" w:type="dxa"/>
            <w:right w:w="100" w:type="dxa"/>
          </w:tcMar>
          <w:vAlign w:val="center"/>
        </w:tcPr>
        <w:p w:rsidR="00215135" w:rsidRDefault="00215135">
          <w:pPr>
            <w:jc w:val="center"/>
            <w:rPr>
              <w:b/>
              <w:color w:val="000000"/>
              <w:sz w:val="32"/>
            </w:rPr>
          </w:pPr>
          <w:r>
            <w:rPr>
              <w:b/>
              <w:color w:val="000000"/>
            </w:rPr>
            <w:fldChar w:fldCharType="begin"/>
          </w:r>
          <w:r>
            <w:rPr>
              <w:rFonts w:ascii="Times New Roman" w:eastAsia="Times New Roman" w:hAnsi="Times New Roman" w:cs="Times New Roman"/>
              <w:b/>
              <w:noProof/>
              <w:color w:val="000000"/>
              <w:sz w:val="24"/>
            </w:rPr>
            <w:instrText>PAGE</w:instrText>
          </w:r>
          <w:r>
            <w:rPr>
              <w:b/>
              <w:color w:val="000000"/>
            </w:rPr>
            <w:fldChar w:fldCharType="separate"/>
          </w:r>
          <w:r w:rsidR="007C43A1">
            <w:rPr>
              <w:rFonts w:ascii="Times New Roman" w:eastAsia="Times New Roman" w:hAnsi="Times New Roman" w:cs="Times New Roman"/>
              <w:b/>
              <w:noProof/>
              <w:color w:val="000000"/>
              <w:sz w:val="24"/>
            </w:rPr>
            <w:t>15</w:t>
          </w:r>
          <w:r>
            <w:rPr>
              <w:b/>
              <w:color w:val="000000"/>
            </w:rPr>
            <w:fldChar w:fldCharType="end"/>
          </w:r>
        </w:p>
      </w:tc>
      <w:tc>
        <w:tcPr>
          <w:tcW w:w="1667" w:type="pct"/>
          <w:shd w:val="clear" w:color="auto" w:fill="FFFFFF"/>
          <w:tcMar>
            <w:left w:w="100" w:type="dxa"/>
            <w:right w:w="100" w:type="dxa"/>
          </w:tcMar>
          <w:vAlign w:val="center"/>
        </w:tcPr>
        <w:p w:rsidR="00215135" w:rsidRDefault="00215135">
          <w:pPr>
            <w:jc w:val="right"/>
            <w:rPr>
              <w:b/>
              <w:color w:val="000000"/>
              <w:sz w:val="32"/>
            </w:rPr>
          </w:pPr>
          <w:r>
            <w:rPr>
              <w:rFonts w:ascii="Times New Roman" w:eastAsia="Times New Roman" w:hAnsi="Times New Roman" w:cs="Times New Roman"/>
              <w:b/>
              <w:noProof/>
              <w:color w:val="000000"/>
              <w:sz w:val="32"/>
            </w:rPr>
            <w:t>BG</w:t>
          </w:r>
        </w:p>
      </w:tc>
    </w:tr>
  </w:tbl>
  <w:p w:rsidR="00215135" w:rsidRDefault="00215135">
    <w:pPr>
      <w:rPr>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F1C" w:rsidRDefault="00993F1C" w:rsidP="000030C2">
      <w:pPr>
        <w:spacing w:after="0" w:line="240" w:lineRule="auto"/>
      </w:pPr>
      <w:r>
        <w:separator/>
      </w:r>
    </w:p>
  </w:footnote>
  <w:footnote w:type="continuationSeparator" w:id="0">
    <w:p w:rsidR="00993F1C" w:rsidRDefault="00993F1C" w:rsidP="00003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1029C"/>
    <w:multiLevelType w:val="hybridMultilevel"/>
    <w:tmpl w:val="72C20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1C456B"/>
    <w:multiLevelType w:val="hybridMultilevel"/>
    <w:tmpl w:val="ADEE2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DD70687"/>
    <w:multiLevelType w:val="hybridMultilevel"/>
    <w:tmpl w:val="449C9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4CA"/>
    <w:rsid w:val="000030C2"/>
    <w:rsid w:val="00020D3C"/>
    <w:rsid w:val="00031CA5"/>
    <w:rsid w:val="00096BF1"/>
    <w:rsid w:val="000B604C"/>
    <w:rsid w:val="000E547F"/>
    <w:rsid w:val="001269B5"/>
    <w:rsid w:val="00144255"/>
    <w:rsid w:val="001B5639"/>
    <w:rsid w:val="00215135"/>
    <w:rsid w:val="00246013"/>
    <w:rsid w:val="00281E70"/>
    <w:rsid w:val="002D0C84"/>
    <w:rsid w:val="0035213C"/>
    <w:rsid w:val="003C1D9D"/>
    <w:rsid w:val="004168B0"/>
    <w:rsid w:val="00420F5A"/>
    <w:rsid w:val="004F4CD8"/>
    <w:rsid w:val="00542CD9"/>
    <w:rsid w:val="00551DAC"/>
    <w:rsid w:val="00624ECE"/>
    <w:rsid w:val="00635065"/>
    <w:rsid w:val="0070537D"/>
    <w:rsid w:val="007C43A1"/>
    <w:rsid w:val="007F3CDC"/>
    <w:rsid w:val="007F6A0D"/>
    <w:rsid w:val="00841D04"/>
    <w:rsid w:val="008646DE"/>
    <w:rsid w:val="008C688B"/>
    <w:rsid w:val="008D6B56"/>
    <w:rsid w:val="009630FF"/>
    <w:rsid w:val="00993F1C"/>
    <w:rsid w:val="00AD1795"/>
    <w:rsid w:val="00AF500B"/>
    <w:rsid w:val="00B93D2A"/>
    <w:rsid w:val="00C51618"/>
    <w:rsid w:val="00C52A72"/>
    <w:rsid w:val="00C91551"/>
    <w:rsid w:val="00CB0BC7"/>
    <w:rsid w:val="00D61DDE"/>
    <w:rsid w:val="00D9555A"/>
    <w:rsid w:val="00F2553E"/>
    <w:rsid w:val="00F504CA"/>
    <w:rsid w:val="00FB6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F0DE22-FB93-46A7-8D9C-9F8F0E81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B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uill-better-table">
    <w:name w:val="quill-better-table"/>
    <w:basedOn w:val="TableNormal"/>
    <w:rsid w:val="000030C2"/>
    <w:pPr>
      <w:spacing w:after="0" w:line="240" w:lineRule="auto"/>
    </w:pPr>
    <w:rPr>
      <w:rFonts w:ascii="Times New Roman" w:eastAsia="Times New Roman" w:hAnsi="Times New Roman" w:cs="Times New Roman"/>
      <w:sz w:val="20"/>
      <w:szCs w:val="20"/>
      <w:lang w:val="en-US"/>
    </w:rPr>
    <w:tblPr/>
  </w:style>
  <w:style w:type="paragraph" w:styleId="Header">
    <w:name w:val="header"/>
    <w:basedOn w:val="Normal"/>
    <w:link w:val="HeaderChar"/>
    <w:uiPriority w:val="99"/>
    <w:semiHidden/>
    <w:unhideWhenUsed/>
    <w:rsid w:val="000030C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30C2"/>
  </w:style>
  <w:style w:type="paragraph" w:styleId="ListParagraph">
    <w:name w:val="List Paragraph"/>
    <w:basedOn w:val="Normal"/>
    <w:uiPriority w:val="34"/>
    <w:qFormat/>
    <w:rsid w:val="00144255"/>
    <w:pPr>
      <w:ind w:left="720"/>
      <w:contextualSpacing/>
    </w:pPr>
  </w:style>
  <w:style w:type="character" w:styleId="CommentReference">
    <w:name w:val="annotation reference"/>
    <w:basedOn w:val="DefaultParagraphFont"/>
    <w:uiPriority w:val="99"/>
    <w:semiHidden/>
    <w:unhideWhenUsed/>
    <w:rsid w:val="00CB0BC7"/>
    <w:rPr>
      <w:sz w:val="16"/>
      <w:szCs w:val="16"/>
    </w:rPr>
  </w:style>
  <w:style w:type="paragraph" w:styleId="CommentText">
    <w:name w:val="annotation text"/>
    <w:basedOn w:val="Normal"/>
    <w:link w:val="CommentTextChar"/>
    <w:uiPriority w:val="99"/>
    <w:semiHidden/>
    <w:unhideWhenUsed/>
    <w:rsid w:val="00CB0BC7"/>
    <w:pPr>
      <w:spacing w:line="240" w:lineRule="auto"/>
    </w:pPr>
    <w:rPr>
      <w:sz w:val="20"/>
      <w:szCs w:val="20"/>
    </w:rPr>
  </w:style>
  <w:style w:type="character" w:customStyle="1" w:styleId="CommentTextChar">
    <w:name w:val="Comment Text Char"/>
    <w:basedOn w:val="DefaultParagraphFont"/>
    <w:link w:val="CommentText"/>
    <w:uiPriority w:val="99"/>
    <w:semiHidden/>
    <w:rsid w:val="00CB0BC7"/>
    <w:rPr>
      <w:sz w:val="20"/>
      <w:szCs w:val="20"/>
    </w:rPr>
  </w:style>
  <w:style w:type="paragraph" w:styleId="CommentSubject">
    <w:name w:val="annotation subject"/>
    <w:basedOn w:val="CommentText"/>
    <w:next w:val="CommentText"/>
    <w:link w:val="CommentSubjectChar"/>
    <w:uiPriority w:val="99"/>
    <w:semiHidden/>
    <w:unhideWhenUsed/>
    <w:rsid w:val="00CB0BC7"/>
    <w:rPr>
      <w:b/>
      <w:bCs/>
    </w:rPr>
  </w:style>
  <w:style w:type="character" w:customStyle="1" w:styleId="CommentSubjectChar">
    <w:name w:val="Comment Subject Char"/>
    <w:basedOn w:val="CommentTextChar"/>
    <w:link w:val="CommentSubject"/>
    <w:uiPriority w:val="99"/>
    <w:semiHidden/>
    <w:rsid w:val="00CB0BC7"/>
    <w:rPr>
      <w:b/>
      <w:bCs/>
      <w:sz w:val="20"/>
      <w:szCs w:val="20"/>
    </w:rPr>
  </w:style>
  <w:style w:type="paragraph" w:styleId="BalloonText">
    <w:name w:val="Balloon Text"/>
    <w:basedOn w:val="Normal"/>
    <w:link w:val="BalloonTextChar"/>
    <w:uiPriority w:val="99"/>
    <w:semiHidden/>
    <w:unhideWhenUsed/>
    <w:rsid w:val="00CB0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5676">
      <w:bodyDiv w:val="1"/>
      <w:marLeft w:val="0"/>
      <w:marRight w:val="0"/>
      <w:marTop w:val="0"/>
      <w:marBottom w:val="0"/>
      <w:divBdr>
        <w:top w:val="none" w:sz="0" w:space="0" w:color="auto"/>
        <w:left w:val="none" w:sz="0" w:space="0" w:color="auto"/>
        <w:bottom w:val="none" w:sz="0" w:space="0" w:color="auto"/>
        <w:right w:val="none" w:sz="0" w:space="0" w:color="auto"/>
      </w:divBdr>
    </w:div>
    <w:div w:id="263225078">
      <w:bodyDiv w:val="1"/>
      <w:marLeft w:val="0"/>
      <w:marRight w:val="0"/>
      <w:marTop w:val="0"/>
      <w:marBottom w:val="0"/>
      <w:divBdr>
        <w:top w:val="none" w:sz="0" w:space="0" w:color="auto"/>
        <w:left w:val="none" w:sz="0" w:space="0" w:color="auto"/>
        <w:bottom w:val="none" w:sz="0" w:space="0" w:color="auto"/>
        <w:right w:val="none" w:sz="0" w:space="0" w:color="auto"/>
      </w:divBdr>
    </w:div>
    <w:div w:id="1067453627">
      <w:bodyDiv w:val="1"/>
      <w:marLeft w:val="0"/>
      <w:marRight w:val="0"/>
      <w:marTop w:val="0"/>
      <w:marBottom w:val="0"/>
      <w:divBdr>
        <w:top w:val="none" w:sz="0" w:space="0" w:color="auto"/>
        <w:left w:val="none" w:sz="0" w:space="0" w:color="auto"/>
        <w:bottom w:val="none" w:sz="0" w:space="0" w:color="auto"/>
        <w:right w:val="none" w:sz="0" w:space="0" w:color="auto"/>
      </w:divBdr>
    </w:div>
    <w:div w:id="1196574604">
      <w:bodyDiv w:val="1"/>
      <w:marLeft w:val="0"/>
      <w:marRight w:val="0"/>
      <w:marTop w:val="0"/>
      <w:marBottom w:val="0"/>
      <w:divBdr>
        <w:top w:val="none" w:sz="0" w:space="0" w:color="auto"/>
        <w:left w:val="none" w:sz="0" w:space="0" w:color="auto"/>
        <w:bottom w:val="none" w:sz="0" w:space="0" w:color="auto"/>
        <w:right w:val="none" w:sz="0" w:space="0" w:color="auto"/>
      </w:divBdr>
    </w:div>
    <w:div w:id="1564371974">
      <w:bodyDiv w:val="1"/>
      <w:marLeft w:val="0"/>
      <w:marRight w:val="0"/>
      <w:marTop w:val="0"/>
      <w:marBottom w:val="0"/>
      <w:divBdr>
        <w:top w:val="none" w:sz="0" w:space="0" w:color="auto"/>
        <w:left w:val="none" w:sz="0" w:space="0" w:color="auto"/>
        <w:bottom w:val="none" w:sz="0" w:space="0" w:color="auto"/>
        <w:right w:val="none" w:sz="0" w:space="0" w:color="auto"/>
      </w:divBdr>
    </w:div>
    <w:div w:id="160244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A45D8-236E-428B-9E2A-9469859F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4796</Words>
  <Characters>27341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Lidiya Chakrakchieva</dc:creator>
  <cp:keywords/>
  <dc:description/>
  <cp:lastModifiedBy>Miglena Hadzhiyska</cp:lastModifiedBy>
  <cp:revision>5</cp:revision>
  <dcterms:created xsi:type="dcterms:W3CDTF">2025-09-09T11:02:00Z</dcterms:created>
  <dcterms:modified xsi:type="dcterms:W3CDTF">2025-09-09T14:50:00Z</dcterms:modified>
</cp:coreProperties>
</file>